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9272B3">
        <w:t>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775506" w:rsidRPr="00775506">
        <w:rPr>
          <w:sz w:val="32"/>
          <w:szCs w:val="32"/>
        </w:rPr>
        <w:t>R2-1704184</w:t>
      </w:r>
    </w:p>
    <w:p w:rsidR="005B7B1C" w:rsidRDefault="009272B3" w:rsidP="005B7B1C">
      <w:pPr>
        <w:pStyle w:val="CRCoverPage"/>
        <w:outlineLvl w:val="0"/>
        <w:rPr>
          <w:b/>
          <w:noProof/>
          <w:sz w:val="24"/>
        </w:rPr>
      </w:pPr>
      <w:r w:rsidRPr="009272B3">
        <w:rPr>
          <w:b/>
          <w:noProof/>
          <w:sz w:val="24"/>
        </w:rPr>
        <w:t>Hangzhou</w:t>
      </w:r>
      <w:r>
        <w:rPr>
          <w:b/>
          <w:noProof/>
          <w:sz w:val="24"/>
        </w:rPr>
        <w:t>, China, 15</w:t>
      </w:r>
      <w:r w:rsidR="005B7B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5B7B1C">
        <w:rPr>
          <w:b/>
          <w:noProof/>
          <w:sz w:val="24"/>
          <w:vertAlign w:val="superscript"/>
        </w:rPr>
        <w:t>th</w:t>
      </w:r>
      <w:r w:rsidR="005B7B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B7B1C">
        <w:rPr>
          <w:b/>
          <w:noProof/>
          <w:sz w:val="24"/>
        </w:rPr>
        <w:t xml:space="preserve"> 2017</w:t>
      </w:r>
    </w:p>
    <w:p w:rsidR="00E90E49" w:rsidRPr="00CE0424" w:rsidRDefault="00E90E49" w:rsidP="00357380">
      <w:pPr>
        <w:pStyle w:val="3GPPHeader"/>
      </w:pPr>
    </w:p>
    <w:p w:rsidR="00E90E49" w:rsidRPr="00E3116E" w:rsidRDefault="00E90E49" w:rsidP="00311702">
      <w:pPr>
        <w:pStyle w:val="3GPPHeader"/>
        <w:rPr>
          <w:sz w:val="22"/>
          <w:szCs w:val="22"/>
          <w:lang w:val="en-US"/>
        </w:rPr>
      </w:pPr>
      <w:r w:rsidRPr="00E3116E">
        <w:rPr>
          <w:sz w:val="22"/>
          <w:szCs w:val="22"/>
          <w:lang w:val="en-US"/>
        </w:rPr>
        <w:t>Agenda Item:</w:t>
      </w:r>
      <w:r w:rsidRPr="00E3116E">
        <w:rPr>
          <w:sz w:val="22"/>
          <w:szCs w:val="22"/>
          <w:lang w:val="en-US"/>
        </w:rPr>
        <w:tab/>
      </w:r>
      <w:r w:rsidR="007B61D8">
        <w:rPr>
          <w:sz w:val="22"/>
          <w:szCs w:val="22"/>
          <w:lang w:val="en-US"/>
        </w:rPr>
        <w:t>7.3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22281" w:rsidRPr="00022281">
        <w:rPr>
          <w:sz w:val="22"/>
          <w:szCs w:val="22"/>
        </w:rPr>
        <w:t xml:space="preserve">Summary of email discussion on </w:t>
      </w:r>
      <w:r w:rsidR="009272B3">
        <w:rPr>
          <w:sz w:val="22"/>
          <w:szCs w:val="22"/>
        </w:rPr>
        <w:t>preamble selection in CE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22281">
        <w:rPr>
          <w:sz w:val="22"/>
          <w:szCs w:val="22"/>
        </w:rPr>
        <w:t>Discussion</w:t>
      </w:r>
    </w:p>
    <w:p w:rsidR="00E90E49" w:rsidRPr="00CE0424" w:rsidRDefault="00E90E49" w:rsidP="00E90E49"/>
    <w:p w:rsidR="00E90E49" w:rsidRDefault="00E90E49" w:rsidP="00CE0424">
      <w:pPr>
        <w:pStyle w:val="Heading1"/>
      </w:pPr>
      <w:r w:rsidRPr="00CE0424">
        <w:t>Introduction</w:t>
      </w:r>
    </w:p>
    <w:p w:rsidR="00022281" w:rsidRDefault="00022281" w:rsidP="00022281">
      <w:pPr>
        <w:pStyle w:val="BodyText"/>
      </w:pPr>
      <w:r>
        <w:t xml:space="preserve">This is a summary of the </w:t>
      </w:r>
      <w:r w:rsidR="009272B3">
        <w:t>following email discussion</w:t>
      </w:r>
      <w:r>
        <w:t>:</w:t>
      </w:r>
    </w:p>
    <w:p w:rsidR="009272B3" w:rsidRPr="009272B3" w:rsidRDefault="009272B3" w:rsidP="009272B3">
      <w:pPr>
        <w:overflowPunct/>
        <w:autoSpaceDE/>
        <w:autoSpaceDN/>
        <w:adjustRightInd/>
        <w:spacing w:before="60" w:after="0"/>
        <w:ind w:left="1259" w:hanging="1259"/>
        <w:jc w:val="left"/>
        <w:textAlignment w:val="auto"/>
        <w:rPr>
          <w:rFonts w:eastAsia="MS Mincho"/>
          <w:noProof/>
          <w:szCs w:val="24"/>
          <w:lang w:eastAsia="en-GB"/>
        </w:rPr>
      </w:pPr>
      <w:r w:rsidRPr="009272B3">
        <w:rPr>
          <w:rFonts w:eastAsia="MS Mincho"/>
          <w:noProof/>
          <w:szCs w:val="24"/>
          <w:lang w:eastAsia="en-GB"/>
        </w:rPr>
        <w:t>[97bis#30][LTE/MTCe2] Preamble selection in CE (Ericsson)</w:t>
      </w:r>
    </w:p>
    <w:p w:rsidR="009272B3" w:rsidRPr="009272B3" w:rsidRDefault="009272B3" w:rsidP="009272B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9272B3">
        <w:rPr>
          <w:rFonts w:eastAsia="MS Mincho"/>
          <w:szCs w:val="24"/>
          <w:lang w:eastAsia="en-GB"/>
        </w:rPr>
        <w:t>-</w:t>
      </w:r>
      <w:r w:rsidRPr="009272B3">
        <w:rPr>
          <w:rFonts w:eastAsia="MS Mincho"/>
          <w:szCs w:val="24"/>
          <w:lang w:eastAsia="en-GB"/>
        </w:rPr>
        <w:tab/>
        <w:t xml:space="preserve">Email discussion (MTCe2) on way forward on Selection of preambles for BL UEs and UEs in enhanced coverage (Ericsson). </w:t>
      </w:r>
    </w:p>
    <w:p w:rsidR="009272B3" w:rsidRPr="009272B3" w:rsidRDefault="009272B3" w:rsidP="009272B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9272B3">
        <w:rPr>
          <w:rFonts w:eastAsia="MS Mincho"/>
          <w:szCs w:val="24"/>
          <w:lang w:eastAsia="en-GB"/>
        </w:rPr>
        <w:tab/>
        <w:t>Deadline: 04/27/2017</w:t>
      </w:r>
    </w:p>
    <w:p w:rsidR="00AE76CE" w:rsidRDefault="00AE76CE" w:rsidP="00CE0424">
      <w:pPr>
        <w:pStyle w:val="BodyText"/>
      </w:pPr>
    </w:p>
    <w:p w:rsidR="00D3005B" w:rsidRDefault="00AE76CE" w:rsidP="00CE0424">
      <w:pPr>
        <w:pStyle w:val="BodyText"/>
      </w:pPr>
      <w:r>
        <w:t>The deadline for the ema</w:t>
      </w:r>
      <w:r w:rsidR="00334D50">
        <w:t>il discussion is</w:t>
      </w:r>
      <w:r>
        <w:t xml:space="preserve"> Thursday </w:t>
      </w:r>
      <w:r w:rsidR="009272B3">
        <w:t>04/27/2017</w:t>
      </w:r>
      <w:r>
        <w:t>.</w:t>
      </w:r>
    </w:p>
    <w:p w:rsidR="00AE76CE" w:rsidRPr="00CE0424" w:rsidRDefault="00AE76CE" w:rsidP="00CE0424">
      <w:pPr>
        <w:pStyle w:val="BodyText"/>
      </w:pPr>
    </w:p>
    <w:p w:rsidR="001643A8" w:rsidRDefault="00022281" w:rsidP="00CE0424">
      <w:pPr>
        <w:pStyle w:val="Heading1"/>
      </w:pPr>
      <w:r>
        <w:t>Background</w:t>
      </w:r>
    </w:p>
    <w:p w:rsidR="00487BD1" w:rsidRDefault="00487BD1" w:rsidP="00487BD1">
      <w:pPr>
        <w:pStyle w:val="Heading2"/>
      </w:pPr>
      <w:r>
        <w:t>Configuration of groups for CE levels and groups A/B</w:t>
      </w:r>
    </w:p>
    <w:p w:rsidR="0010293C" w:rsidRDefault="00FD4DAC" w:rsidP="002E390A">
      <w:r>
        <w:t xml:space="preserve">In </w:t>
      </w:r>
      <w:proofErr w:type="spellStart"/>
      <w:r>
        <w:t>eMTC</w:t>
      </w:r>
      <w:proofErr w:type="spellEnd"/>
      <w:r>
        <w:t xml:space="preserve">, </w:t>
      </w:r>
      <w:r w:rsidR="001760C4">
        <w:t>up to four CE-</w:t>
      </w:r>
      <w:r w:rsidR="002E390A">
        <w:t xml:space="preserve">levels can be configured for RACH depending on the required cell coverage. Each </w:t>
      </w:r>
      <w:r w:rsidR="001760C4">
        <w:t>CE-</w:t>
      </w:r>
      <w:r>
        <w:t>level</w:t>
      </w:r>
      <w:r w:rsidRPr="00161EB4">
        <w:t xml:space="preserve"> </w:t>
      </w:r>
      <w:r w:rsidR="0010293C">
        <w:t>has an associated</w:t>
      </w:r>
      <w:r>
        <w:t xml:space="preserve"> PRACH resource (i.e. the time/frequency resources used for PRACH transmission) and a</w:t>
      </w:r>
      <w:r w:rsidR="001362BC">
        <w:t>n associated</w:t>
      </w:r>
      <w:r>
        <w:t xml:space="preserve"> set of preambles (defined by </w:t>
      </w:r>
      <w:proofErr w:type="spellStart"/>
      <w:r w:rsidRPr="00FD4DAC">
        <w:rPr>
          <w:i/>
        </w:rPr>
        <w:t>firs</w:t>
      </w:r>
      <w:r w:rsidR="00CE7A46">
        <w:rPr>
          <w:i/>
        </w:rPr>
        <w:t>t</w:t>
      </w:r>
      <w:r w:rsidRPr="00FD4DAC">
        <w:rPr>
          <w:i/>
        </w:rPr>
        <w:t>Preamble</w:t>
      </w:r>
      <w:proofErr w:type="spellEnd"/>
      <w:r>
        <w:t xml:space="preserve"> and </w:t>
      </w:r>
      <w:proofErr w:type="spellStart"/>
      <w:r w:rsidRPr="00FD4DAC">
        <w:rPr>
          <w:i/>
        </w:rPr>
        <w:t>lastPreamble</w:t>
      </w:r>
      <w:proofErr w:type="spellEnd"/>
      <w:r>
        <w:t>)</w:t>
      </w:r>
      <w:r w:rsidR="002E390A">
        <w:t xml:space="preserve">. </w:t>
      </w:r>
      <w:r w:rsidR="0010293C">
        <w:t xml:space="preserve">The </w:t>
      </w:r>
      <w:proofErr w:type="spellStart"/>
      <w:r w:rsidR="0010293C">
        <w:t>eNB</w:t>
      </w:r>
      <w:proofErr w:type="spellEnd"/>
      <w:r w:rsidR="0010293C">
        <w:t xml:space="preserve"> </w:t>
      </w:r>
      <w:r w:rsidR="001362BC">
        <w:t>can determine</w:t>
      </w:r>
      <w:r w:rsidR="0010293C">
        <w:t xml:space="preserve"> the CE level </w:t>
      </w:r>
      <w:r w:rsidR="001362BC">
        <w:t>selected by the</w:t>
      </w:r>
      <w:r w:rsidR="0010293C">
        <w:t xml:space="preserve"> UE based on either the preamble</w:t>
      </w:r>
      <w:r w:rsidR="001362BC">
        <w:t xml:space="preserve"> or the PRACH resource (see figure below)</w:t>
      </w:r>
      <w:r w:rsidR="00CE7A46">
        <w:t>.</w:t>
      </w:r>
    </w:p>
    <w:p w:rsidR="00FD4DAC" w:rsidRDefault="00FD4DAC" w:rsidP="00487BD1"/>
    <w:p w:rsidR="0010293C" w:rsidRDefault="0010293C" w:rsidP="00487BD1"/>
    <w:p w:rsidR="0010293C" w:rsidRDefault="001760C4" w:rsidP="0010366B">
      <w:pPr>
        <w:jc w:val="center"/>
      </w:pPr>
      <w:r w:rsidRPr="001760C4">
        <w:rPr>
          <w:noProof/>
          <w:lang w:val="sv-SE" w:eastAsia="sv-SE"/>
        </w:rPr>
        <w:lastRenderedPageBreak/>
        <w:drawing>
          <wp:inline distT="0" distB="0" distL="0" distR="0">
            <wp:extent cx="5043600" cy="3427200"/>
            <wp:effectExtent l="0" t="0" r="508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3600" cy="34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C6A" w:rsidRPr="00CE0424" w:rsidRDefault="00C03C6A" w:rsidP="00C03C6A">
      <w:pPr>
        <w:pStyle w:val="Caption"/>
      </w:pPr>
      <w:r w:rsidRPr="00CE0424">
        <w:t xml:space="preserve">Figure </w:t>
      </w:r>
      <w:r w:rsidR="001F1649" w:rsidRPr="00CE0424">
        <w:fldChar w:fldCharType="begin"/>
      </w:r>
      <w:r w:rsidRPr="00CE0424">
        <w:instrText xml:space="preserve"> SEQ Figure \* ARABIC </w:instrText>
      </w:r>
      <w:r w:rsidR="001F1649" w:rsidRPr="00CE0424">
        <w:fldChar w:fldCharType="separate"/>
      </w:r>
      <w:r>
        <w:rPr>
          <w:noProof/>
        </w:rPr>
        <w:t>1</w:t>
      </w:r>
      <w:r w:rsidR="001F1649" w:rsidRPr="00CE0424">
        <w:fldChar w:fldCharType="end"/>
      </w:r>
      <w:r>
        <w:t xml:space="preserve">: CE level differentiation based on preamble partitioning (a) </w:t>
      </w:r>
      <w:r w:rsidR="001362BC">
        <w:t>or PRACH resource</w:t>
      </w:r>
      <w:r>
        <w:t xml:space="preserve"> (b). For simplicity only two CE levels are shown.</w:t>
      </w:r>
    </w:p>
    <w:p w:rsidR="0010366B" w:rsidRDefault="0010366B" w:rsidP="00487BD1"/>
    <w:p w:rsidR="00C03C6A" w:rsidRDefault="00C03C6A" w:rsidP="00C03C6A">
      <w:r w:rsidRPr="00161EB4">
        <w:t xml:space="preserve">It is also possible, at least from RRC </w:t>
      </w:r>
      <w:r>
        <w:t xml:space="preserve">point of view, to divide the preamble space in to group A and group B. Further </w:t>
      </w:r>
      <w:proofErr w:type="gramStart"/>
      <w:r>
        <w:t>it is suggested by the following NOTE</w:t>
      </w:r>
      <w:proofErr w:type="gramEnd"/>
      <w:r>
        <w:t xml:space="preserve"> from MAC that it is possible to use preambles per CE-level at the same time as group A and group B are configured.</w:t>
      </w:r>
    </w:p>
    <w:p w:rsidR="00C03C6A" w:rsidRDefault="00C03C6A" w:rsidP="00C03C6A"/>
    <w:p w:rsidR="00C03C6A" w:rsidRPr="00B90D0E" w:rsidRDefault="00C03C6A" w:rsidP="00C03C6A">
      <w:pPr>
        <w:pStyle w:val="NO"/>
        <w:ind w:left="1560" w:right="850"/>
        <w:rPr>
          <w:rFonts w:eastAsia="?? ??"/>
          <w:noProof/>
        </w:rPr>
      </w:pPr>
      <w:r w:rsidRPr="002F4F3B">
        <w:rPr>
          <w:rFonts w:eastAsia="?? ??"/>
          <w:noProof/>
        </w:rPr>
        <w:t>NOTE:</w:t>
      </w:r>
      <w:r w:rsidRPr="002F4F3B">
        <w:rPr>
          <w:rFonts w:eastAsia="?? ??"/>
          <w:noProof/>
        </w:rPr>
        <w:tab/>
      </w:r>
      <w:r w:rsidRPr="000D4EBE">
        <w:rPr>
          <w:rFonts w:eastAsia="?? ??" w:hint="eastAsia"/>
          <w:noProof/>
        </w:rPr>
        <w:t xml:space="preserve">If </w:t>
      </w:r>
      <w:r w:rsidRPr="000D4EBE">
        <w:rPr>
          <w:rFonts w:eastAsia="?? ??"/>
          <w:noProof/>
        </w:rPr>
        <w:t xml:space="preserve">Random Access Preamble group B exists, </w:t>
      </w:r>
      <w:r w:rsidRPr="000D4EBE">
        <w:rPr>
          <w:rFonts w:eastAsia="?? ??" w:hint="eastAsia"/>
          <w:noProof/>
        </w:rPr>
        <w:t xml:space="preserve">the eNB should ensure that at least one </w:t>
      </w:r>
      <w:r w:rsidRPr="000D4EBE">
        <w:rPr>
          <w:rFonts w:eastAsia="?? ??"/>
          <w:noProof/>
        </w:rPr>
        <w:t xml:space="preserve">Random Access Preamble </w:t>
      </w:r>
      <w:r w:rsidRPr="000D4EBE">
        <w:rPr>
          <w:rFonts w:eastAsia="?? ??" w:hint="eastAsia"/>
          <w:noProof/>
        </w:rPr>
        <w:t xml:space="preserve">is contained </w:t>
      </w:r>
      <w:r w:rsidRPr="000D4EBE">
        <w:rPr>
          <w:rFonts w:eastAsia="?? ??"/>
          <w:noProof/>
        </w:rPr>
        <w:t xml:space="preserve">in Random Access Preamble group A and Random Access Preamble group B </w:t>
      </w:r>
      <w:r w:rsidRPr="000D4EBE">
        <w:rPr>
          <w:rFonts w:eastAsia="?? ??" w:hint="eastAsia"/>
          <w:noProof/>
        </w:rPr>
        <w:t>for all enhanced coverage level.</w:t>
      </w:r>
      <w:r>
        <w:t xml:space="preserve"> </w:t>
      </w:r>
    </w:p>
    <w:p w:rsidR="00C03C6A" w:rsidRDefault="00C03C6A" w:rsidP="00C03C6A"/>
    <w:p w:rsidR="00733E14" w:rsidRDefault="00C03C6A" w:rsidP="00C03C6A">
      <w:r>
        <w:t xml:space="preserve">One interpretation of the NOTE is that the </w:t>
      </w:r>
      <w:proofErr w:type="spellStart"/>
      <w:r>
        <w:t>eNB</w:t>
      </w:r>
      <w:proofErr w:type="spellEnd"/>
      <w:r>
        <w:t xml:space="preserve"> should ensure that if preambles per CE-level is configured at the same time as group A and group B are configured, then the </w:t>
      </w:r>
      <w:proofErr w:type="spellStart"/>
      <w:r>
        <w:t>eNB</w:t>
      </w:r>
      <w:proofErr w:type="spellEnd"/>
      <w:r>
        <w:t xml:space="preserve"> must configure the UE preambles like in </w:t>
      </w:r>
      <w:r w:rsidR="001F1649">
        <w:fldChar w:fldCharType="begin"/>
      </w:r>
      <w:r w:rsidR="00C43CB2">
        <w:instrText xml:space="preserve"> REF _Ref479852380 \h </w:instrText>
      </w:r>
      <w:r w:rsidR="001F1649">
        <w:fldChar w:fldCharType="separate"/>
      </w:r>
      <w:r w:rsidR="00C43CB2" w:rsidRPr="00CE0424">
        <w:t xml:space="preserve">Figure </w:t>
      </w:r>
      <w:r w:rsidR="00C43CB2">
        <w:rPr>
          <w:noProof/>
        </w:rPr>
        <w:t>2</w:t>
      </w:r>
      <w:r w:rsidR="001F1649">
        <w:fldChar w:fldCharType="end"/>
      </w:r>
      <w:r w:rsidR="00C43CB2">
        <w:t xml:space="preserve"> </w:t>
      </w:r>
      <w:r>
        <w:t xml:space="preserve">below. Namely, the </w:t>
      </w:r>
      <w:proofErr w:type="spellStart"/>
      <w:r>
        <w:t>eNB</w:t>
      </w:r>
      <w:proofErr w:type="spellEnd"/>
      <w:r>
        <w:t xml:space="preserve"> must configure one PRACH resource for each configured CE-level and for each CE-level the </w:t>
      </w:r>
      <w:proofErr w:type="spellStart"/>
      <w:r w:rsidRPr="00B90D0E">
        <w:rPr>
          <w:i/>
        </w:rPr>
        <w:t>firstPreamble</w:t>
      </w:r>
      <w:proofErr w:type="spellEnd"/>
      <w:r>
        <w:t xml:space="preserve"> and </w:t>
      </w:r>
      <w:proofErr w:type="spellStart"/>
      <w:r w:rsidRPr="00B90D0E">
        <w:rPr>
          <w:i/>
        </w:rPr>
        <w:t>lastPreamble</w:t>
      </w:r>
      <w:proofErr w:type="spellEnd"/>
      <w:r>
        <w:t xml:space="preserve"> for each CE-level must be such that each CE-level has at least one preamble in Group A and at least one preamble in Group B. </w:t>
      </w:r>
      <w:r w:rsidR="0036328E">
        <w:t xml:space="preserve">With this type of </w:t>
      </w:r>
      <w:proofErr w:type="gramStart"/>
      <w:r w:rsidR="0036328E">
        <w:t>configuration</w:t>
      </w:r>
      <w:proofErr w:type="gramEnd"/>
      <w:r w:rsidR="0036328E">
        <w:t xml:space="preserve"> the UE should take the intersection between the CE-level specific preamble range and preamble group A or B before selecting the preamble. </w:t>
      </w:r>
      <w:r>
        <w:t>Note also that the split of the preambles in Group A/B is common for all PRACH resources.</w:t>
      </w:r>
      <w:r w:rsidR="00733E14">
        <w:t xml:space="preserve"> </w:t>
      </w:r>
    </w:p>
    <w:p w:rsidR="00733E14" w:rsidRDefault="00733E14" w:rsidP="00733E14">
      <w:pPr>
        <w:spacing w:after="240"/>
      </w:pPr>
      <w:r>
        <w:t xml:space="preserve">However, we wonder if the configuration in the figure is very meaningful as anyhow the dedicated preambles (right end) should be same for all PRACH resources (i.e. that </w:t>
      </w:r>
      <w:proofErr w:type="spellStart"/>
      <w:r w:rsidRPr="00161EB4">
        <w:rPr>
          <w:i/>
        </w:rPr>
        <w:t>lastPreamble</w:t>
      </w:r>
      <w:proofErr w:type="spellEnd"/>
      <w:r>
        <w:t xml:space="preserve"> is the same for all PRACH resources). And there is no usage of the free preambles in the left side of “first preamble”.</w:t>
      </w:r>
    </w:p>
    <w:p w:rsidR="00733E14" w:rsidRDefault="00733E14" w:rsidP="00C03C6A"/>
    <w:p w:rsidR="006C017A" w:rsidRDefault="00DD7100" w:rsidP="00DD7100">
      <w:pPr>
        <w:jc w:val="center"/>
      </w:pPr>
      <w:r w:rsidRPr="00DD7100">
        <w:rPr>
          <w:noProof/>
          <w:lang w:val="sv-SE" w:eastAsia="sv-SE"/>
        </w:rPr>
        <w:lastRenderedPageBreak/>
        <w:drawing>
          <wp:inline distT="0" distB="0" distL="0" distR="0">
            <wp:extent cx="4813200" cy="2638800"/>
            <wp:effectExtent l="0" t="0" r="698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200" cy="2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100" w:rsidRDefault="00DD7100" w:rsidP="002E104A">
      <w:pPr>
        <w:pStyle w:val="Caption"/>
      </w:pPr>
      <w:bookmarkStart w:id="0" w:name="_Ref479852380"/>
      <w:bookmarkStart w:id="1" w:name="_Ref479852375"/>
      <w:r w:rsidRPr="00CE0424">
        <w:t xml:space="preserve">Figure </w:t>
      </w:r>
      <w:r w:rsidR="001F1649" w:rsidRPr="00CE0424">
        <w:fldChar w:fldCharType="begin"/>
      </w:r>
      <w:r w:rsidRPr="00CE0424">
        <w:instrText xml:space="preserve"> SEQ Figure \* ARABIC </w:instrText>
      </w:r>
      <w:r w:rsidR="001F1649" w:rsidRPr="00CE0424">
        <w:fldChar w:fldCharType="separate"/>
      </w:r>
      <w:r>
        <w:rPr>
          <w:noProof/>
        </w:rPr>
        <w:t>2</w:t>
      </w:r>
      <w:r w:rsidR="001F1649" w:rsidRPr="00CE0424">
        <w:fldChar w:fldCharType="end"/>
      </w:r>
      <w:bookmarkEnd w:id="0"/>
      <w:r>
        <w:t xml:space="preserve">: </w:t>
      </w:r>
      <w:r w:rsidR="00F00B32">
        <w:t xml:space="preserve">(Alt. 1) </w:t>
      </w:r>
      <w:r w:rsidR="001362BC">
        <w:t xml:space="preserve">CE-level </w:t>
      </w:r>
      <w:proofErr w:type="gramStart"/>
      <w:r w:rsidR="001362BC">
        <w:t>specific preamble</w:t>
      </w:r>
      <w:proofErr w:type="gramEnd"/>
      <w:r w:rsidR="001362BC">
        <w:t xml:space="preserve"> ranges </w:t>
      </w:r>
      <w:r w:rsidR="002E104A">
        <w:t>are</w:t>
      </w:r>
      <w:r w:rsidR="001362BC">
        <w:t xml:space="preserve"> used at the same time as preamble group A and B are configured</w:t>
      </w:r>
      <w:r>
        <w:t>.</w:t>
      </w:r>
      <w:bookmarkEnd w:id="1"/>
    </w:p>
    <w:p w:rsidR="00C03C6A" w:rsidRPr="0036328E" w:rsidRDefault="0061178B" w:rsidP="00487BD1">
      <w:r>
        <w:t>An alternative way to configure different CE levels only with separate PRACH resources together with gr</w:t>
      </w:r>
      <w:r w:rsidR="00C43CB2">
        <w:t xml:space="preserve">oup A and B would be as in </w:t>
      </w:r>
      <w:r w:rsidR="001F1649">
        <w:fldChar w:fldCharType="begin"/>
      </w:r>
      <w:r w:rsidR="00C43CB2">
        <w:instrText xml:space="preserve"> REF _Ref479852430 \h </w:instrText>
      </w:r>
      <w:r w:rsidR="001F1649">
        <w:fldChar w:fldCharType="separate"/>
      </w:r>
      <w:r w:rsidR="00C43CB2" w:rsidRPr="00CE0424">
        <w:t xml:space="preserve">Figure </w:t>
      </w:r>
      <w:r w:rsidR="00C43CB2">
        <w:rPr>
          <w:noProof/>
        </w:rPr>
        <w:t>3</w:t>
      </w:r>
      <w:r w:rsidR="001F1649">
        <w:fldChar w:fldCharType="end"/>
      </w:r>
      <w:r w:rsidR="00C43CB2">
        <w:t xml:space="preserve"> below. Here </w:t>
      </w:r>
      <w:proofErr w:type="spellStart"/>
      <w:r w:rsidR="00C43CB2" w:rsidRPr="00C43CB2">
        <w:rPr>
          <w:i/>
        </w:rPr>
        <w:t>firstPreamble</w:t>
      </w:r>
      <w:proofErr w:type="spellEnd"/>
      <w:r w:rsidR="00C43CB2">
        <w:t xml:space="preserve"> and </w:t>
      </w:r>
      <w:proofErr w:type="spellStart"/>
      <w:r w:rsidR="00C43CB2">
        <w:rPr>
          <w:i/>
        </w:rPr>
        <w:t>lastPreamble</w:t>
      </w:r>
      <w:proofErr w:type="spellEnd"/>
      <w:r w:rsidR="00C43CB2">
        <w:rPr>
          <w:i/>
        </w:rPr>
        <w:t xml:space="preserve"> </w:t>
      </w:r>
      <w:r w:rsidR="00C43CB2">
        <w:t>are the same for all CE</w:t>
      </w:r>
      <w:r w:rsidR="001760C4">
        <w:t>-</w:t>
      </w:r>
      <w:r w:rsidR="00C43CB2">
        <w:t>levels and coincides with the start and end of preamble group A and B</w:t>
      </w:r>
      <w:proofErr w:type="gramStart"/>
      <w:r w:rsidR="00F0315A">
        <w:t>,</w:t>
      </w:r>
      <w:r w:rsidR="00C43CB2">
        <w:t xml:space="preserve"> respectively, i.e.</w:t>
      </w:r>
      <w:proofErr w:type="gramEnd"/>
      <w:r w:rsidR="00C43CB2">
        <w:t xml:space="preserve">, </w:t>
      </w:r>
      <w:proofErr w:type="spellStart"/>
      <w:r w:rsidR="00C43CB2" w:rsidRPr="00C43CB2">
        <w:rPr>
          <w:i/>
        </w:rPr>
        <w:t>firstPreamble</w:t>
      </w:r>
      <w:proofErr w:type="spellEnd"/>
      <w:r w:rsidR="00C43CB2">
        <w:t xml:space="preserve"> = 0 and </w:t>
      </w:r>
      <w:proofErr w:type="spellStart"/>
      <w:r w:rsidR="00C43CB2" w:rsidRPr="00C43CB2">
        <w:rPr>
          <w:i/>
        </w:rPr>
        <w:t>lastPreamble</w:t>
      </w:r>
      <w:proofErr w:type="spellEnd"/>
      <w:r w:rsidR="00C43CB2">
        <w:t xml:space="preserve"> = </w:t>
      </w:r>
      <w:proofErr w:type="spellStart"/>
      <w:r w:rsidR="00C43CB2" w:rsidRPr="00C43CB2">
        <w:rPr>
          <w:i/>
        </w:rPr>
        <w:t>numberOfRA</w:t>
      </w:r>
      <w:proofErr w:type="spellEnd"/>
      <w:r w:rsidR="00C43CB2" w:rsidRPr="00C43CB2">
        <w:rPr>
          <w:i/>
        </w:rPr>
        <w:t>-Preambles</w:t>
      </w:r>
      <w:r w:rsidR="006C2073">
        <w:rPr>
          <w:i/>
        </w:rPr>
        <w:t xml:space="preserve"> </w:t>
      </w:r>
      <w:r w:rsidR="006C2073">
        <w:t>- 1</w:t>
      </w:r>
      <w:r w:rsidR="00C43CB2">
        <w:rPr>
          <w:i/>
        </w:rPr>
        <w:t>.</w:t>
      </w:r>
      <w:r w:rsidR="0036328E">
        <w:rPr>
          <w:i/>
        </w:rPr>
        <w:t xml:space="preserve"> </w:t>
      </w:r>
      <w:r w:rsidR="0036328E">
        <w:t>In this case the UE can select a preamble directly from group A or group B, i.e. there is no need perform any intersection operation.</w:t>
      </w:r>
    </w:p>
    <w:p w:rsidR="00DD7100" w:rsidRDefault="00DD7100" w:rsidP="00DD7100">
      <w:pPr>
        <w:jc w:val="center"/>
      </w:pPr>
      <w:r w:rsidRPr="00DD7100">
        <w:rPr>
          <w:noProof/>
          <w:lang w:val="sv-SE" w:eastAsia="sv-SE"/>
        </w:rPr>
        <w:drawing>
          <wp:inline distT="0" distB="0" distL="0" distR="0">
            <wp:extent cx="4824000" cy="2646000"/>
            <wp:effectExtent l="0" t="0" r="0" b="254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4000" cy="264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100" w:rsidRPr="00CE0424" w:rsidRDefault="00DD7100" w:rsidP="00DD7100">
      <w:pPr>
        <w:pStyle w:val="Caption"/>
      </w:pPr>
      <w:bookmarkStart w:id="2" w:name="_Ref479852430"/>
      <w:bookmarkStart w:id="3" w:name="_Ref479852435"/>
      <w:r w:rsidRPr="00CE0424">
        <w:t xml:space="preserve">Figure </w:t>
      </w:r>
      <w:r w:rsidR="001F1649" w:rsidRPr="00CE0424">
        <w:fldChar w:fldCharType="begin"/>
      </w:r>
      <w:r w:rsidRPr="00CE0424">
        <w:instrText xml:space="preserve"> SEQ Figure \* ARABIC </w:instrText>
      </w:r>
      <w:r w:rsidR="001F1649" w:rsidRPr="00CE0424">
        <w:fldChar w:fldCharType="separate"/>
      </w:r>
      <w:r w:rsidR="00C43CB2">
        <w:rPr>
          <w:noProof/>
        </w:rPr>
        <w:t>3</w:t>
      </w:r>
      <w:r w:rsidR="001F1649" w:rsidRPr="00CE0424">
        <w:fldChar w:fldCharType="end"/>
      </w:r>
      <w:bookmarkEnd w:id="2"/>
      <w:r>
        <w:t xml:space="preserve">: </w:t>
      </w:r>
      <w:r w:rsidR="00F00B32">
        <w:t xml:space="preserve">(Alt. 2) CE-level </w:t>
      </w:r>
      <w:proofErr w:type="gramStart"/>
      <w:r w:rsidR="00F00B32">
        <w:t>specific preamble</w:t>
      </w:r>
      <w:proofErr w:type="gramEnd"/>
      <w:r w:rsidR="00F00B32">
        <w:t xml:space="preserve"> ranges are not </w:t>
      </w:r>
      <w:r w:rsidR="002E104A">
        <w:t xml:space="preserve">at the same time as </w:t>
      </w:r>
      <w:r w:rsidR="00F00B32">
        <w:t xml:space="preserve">preamble group A and B are configured (i.e. the parameters </w:t>
      </w:r>
      <w:proofErr w:type="spellStart"/>
      <w:r w:rsidR="00F00B32" w:rsidRPr="00C43CB2">
        <w:rPr>
          <w:i/>
        </w:rPr>
        <w:t>firstPreamble</w:t>
      </w:r>
      <w:proofErr w:type="spellEnd"/>
      <w:r w:rsidR="00F00B32">
        <w:t xml:space="preserve"> and </w:t>
      </w:r>
      <w:proofErr w:type="spellStart"/>
      <w:r w:rsidR="00F00B32" w:rsidRPr="00C43CB2">
        <w:rPr>
          <w:i/>
        </w:rPr>
        <w:t>lastPreamble</w:t>
      </w:r>
      <w:proofErr w:type="spellEnd"/>
      <w:r w:rsidR="00F00B32">
        <w:rPr>
          <w:i/>
        </w:rPr>
        <w:t xml:space="preserve"> </w:t>
      </w:r>
      <w:r w:rsidR="00F00B32" w:rsidRPr="002E104A">
        <w:t xml:space="preserve">are the same for all CE levels and </w:t>
      </w:r>
      <w:r w:rsidR="00F00B32">
        <w:t>coincide with the start of preamble group A and end of preamble group B, respectively</w:t>
      </w:r>
      <w:r>
        <w:t>).</w:t>
      </w:r>
      <w:bookmarkEnd w:id="3"/>
    </w:p>
    <w:p w:rsidR="00FD4DAC" w:rsidRDefault="00FD4DAC" w:rsidP="00487BD1"/>
    <w:p w:rsidR="00F0315A" w:rsidRDefault="00F0315A" w:rsidP="00F0315A">
      <w:r>
        <w:t xml:space="preserve">In the third scenario, preamble ranges for CE levels are configured by partitioning the preamble space of a PRACH resource. In this scenario, grouping to A and B clearly does not work, </w:t>
      </w:r>
      <w:proofErr w:type="spellStart"/>
      <w:r>
        <w:t>i.e</w:t>
      </w:r>
      <w:proofErr w:type="spellEnd"/>
      <w:r>
        <w:t xml:space="preserve">, non-empty groups A and B cannot be ensured on </w:t>
      </w:r>
      <w:r w:rsidR="001760C4">
        <w:t>the</w:t>
      </w:r>
      <w:r>
        <w:t xml:space="preserve"> PRACH resource without preamble ranges overlapping between CE levels.</w:t>
      </w:r>
    </w:p>
    <w:p w:rsidR="00F0315A" w:rsidRDefault="001760C4" w:rsidP="00F0315A">
      <w:pPr>
        <w:jc w:val="center"/>
      </w:pPr>
      <w:r w:rsidRPr="001760C4">
        <w:rPr>
          <w:noProof/>
          <w:lang w:val="sv-SE" w:eastAsia="sv-SE"/>
        </w:rPr>
        <w:lastRenderedPageBreak/>
        <w:drawing>
          <wp:inline distT="0" distB="0" distL="0" distR="0">
            <wp:extent cx="4784400" cy="164880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4400" cy="164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15A" w:rsidRDefault="00F0315A" w:rsidP="00F0315A">
      <w:pPr>
        <w:pStyle w:val="Caption"/>
      </w:pPr>
      <w:r w:rsidRPr="00CE0424">
        <w:t xml:space="preserve">Figure </w:t>
      </w:r>
      <w:r w:rsidR="001F1649" w:rsidRPr="00CE0424">
        <w:fldChar w:fldCharType="begin"/>
      </w:r>
      <w:r w:rsidRPr="00CE0424">
        <w:instrText xml:space="preserve"> SEQ Figure \* ARABIC </w:instrText>
      </w:r>
      <w:r w:rsidR="001F1649" w:rsidRPr="00CE0424">
        <w:fldChar w:fldCharType="separate"/>
      </w:r>
      <w:r w:rsidR="001760C4">
        <w:rPr>
          <w:noProof/>
        </w:rPr>
        <w:t>4</w:t>
      </w:r>
      <w:r w:rsidR="001F1649" w:rsidRPr="00CE0424">
        <w:fldChar w:fldCharType="end"/>
      </w:r>
      <w:r w:rsidR="001760C4">
        <w:t>: Invalid configuration: CE</w:t>
      </w:r>
      <w:r w:rsidR="00733E14">
        <w:t>-</w:t>
      </w:r>
      <w:r w:rsidR="001760C4">
        <w:t>levels 0 and 1 use the same PRACH resource and have overlapping preamble ranges.</w:t>
      </w:r>
    </w:p>
    <w:p w:rsidR="009C1B49" w:rsidRDefault="009C1B49" w:rsidP="009C1B49"/>
    <w:p w:rsidR="009C1B49" w:rsidRDefault="009C1B49" w:rsidP="009C1B49">
      <w:r>
        <w:t xml:space="preserve">From the above discussion we </w:t>
      </w:r>
      <w:r w:rsidR="00B210B8">
        <w:t>observe</w:t>
      </w:r>
      <w:r>
        <w:t xml:space="preserve"> that:</w:t>
      </w:r>
    </w:p>
    <w:p w:rsidR="009C1B49" w:rsidRDefault="00F00B32" w:rsidP="00C86936">
      <w:pPr>
        <w:pStyle w:val="Observation"/>
      </w:pPr>
      <w:r>
        <w:t xml:space="preserve">If the network configures preamble group A and B </w:t>
      </w:r>
      <w:r w:rsidR="007D08F3">
        <w:t>to allow the UE to indicate the size of msg3, then preamble partitioning can no longer be used for CE level differentiation but each</w:t>
      </w:r>
      <w:r w:rsidR="00B210B8">
        <w:t xml:space="preserve"> CE level must be configured with a separate PRACH resource </w:t>
      </w:r>
      <w:r w:rsidR="000E24A2">
        <w:t>(i.e. separate time/frequency resources)</w:t>
      </w:r>
      <w:r w:rsidR="007D08F3">
        <w:t>.</w:t>
      </w:r>
    </w:p>
    <w:p w:rsidR="009C1B49" w:rsidRPr="009C1B49" w:rsidRDefault="009C1B49" w:rsidP="009C1B49"/>
    <w:p w:rsidR="007A4395" w:rsidRDefault="005962C5" w:rsidP="007A4395">
      <w:pPr>
        <w:pStyle w:val="Heading2"/>
      </w:pPr>
      <w:r>
        <w:t>Current behaviour in MAC</w:t>
      </w:r>
    </w:p>
    <w:p w:rsidR="007A4395" w:rsidRDefault="007A4395" w:rsidP="007A4395">
      <w:r>
        <w:t xml:space="preserve">The preambles for each CE-level are currently referred to as a </w:t>
      </w:r>
      <w:r w:rsidRPr="00353740">
        <w:rPr>
          <w:i/>
        </w:rPr>
        <w:t>Random Access Preambles group</w:t>
      </w:r>
      <w:r>
        <w:t xml:space="preserve"> in MAC. This is the same terminology used for </w:t>
      </w:r>
      <w:r w:rsidR="00127115">
        <w:t xml:space="preserve">preamble </w:t>
      </w:r>
      <w:r>
        <w:t>group A and B.</w:t>
      </w:r>
    </w:p>
    <w:p w:rsidR="007A4395" w:rsidRDefault="00127115" w:rsidP="007A4395">
      <w:proofErr w:type="gramStart"/>
      <w:r>
        <w:t>According to</w:t>
      </w:r>
      <w:proofErr w:type="gramEnd"/>
      <w:r>
        <w:t xml:space="preserve"> the current MAC specification, i</w:t>
      </w:r>
      <w:r w:rsidR="007A4395">
        <w:t xml:space="preserve">f </w:t>
      </w:r>
      <w:r>
        <w:t xml:space="preserve">preamble </w:t>
      </w:r>
      <w:r w:rsidR="007A4395">
        <w:t xml:space="preserve">group B </w:t>
      </w:r>
      <w:r>
        <w:t>is configured</w:t>
      </w:r>
      <w:r w:rsidR="007A4395">
        <w:t>, then BL UEs and UEs in enhanced coverage would perform selection of “Random Access Preambles group” twice, and hence the first selection is overruled by the second selection.</w:t>
      </w:r>
    </w:p>
    <w:p w:rsidR="007A4395" w:rsidRDefault="007A4395" w:rsidP="007A4395">
      <w:r>
        <w:t xml:space="preserve">See the below, the </w:t>
      </w:r>
      <w:r w:rsidRPr="00823274">
        <w:rPr>
          <w:highlight w:val="cyan"/>
        </w:rPr>
        <w:t>blue</w:t>
      </w:r>
      <w:r>
        <w:t xml:space="preserve"> will be performed and it makes the UE select the preambles associated with a CE-level. However, if preambles group B exists then the UE will also perform one of the </w:t>
      </w:r>
      <w:r w:rsidRPr="00823274">
        <w:rPr>
          <w:highlight w:val="yellow"/>
        </w:rPr>
        <w:t>yellow lines</w:t>
      </w:r>
      <w:r>
        <w:t>, and when that happens the blue selection will be obsolete.</w:t>
      </w:r>
    </w:p>
    <w:p w:rsidR="007A4395" w:rsidRDefault="007A4395" w:rsidP="007A439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4395" w:rsidTr="007A4395">
        <w:tc>
          <w:tcPr>
            <w:tcW w:w="9629" w:type="dxa"/>
          </w:tcPr>
          <w:p w:rsidR="007A4395" w:rsidRPr="007A4395" w:rsidRDefault="00095FB4" w:rsidP="007A4395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noProof/>
                <w:lang w:eastAsia="sv-SE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</w:r>
            <w:r w:rsidR="007A4395" w:rsidRPr="007A4395">
              <w:rPr>
                <w:rFonts w:ascii="Times New Roman" w:eastAsia="Times New Roman" w:hAnsi="Times New Roman"/>
                <w:noProof/>
                <w:lang w:eastAsia="sv-SE"/>
              </w:rPr>
              <w:t xml:space="preserve">If </w:t>
            </w:r>
            <w:r w:rsidR="007A4395" w:rsidRPr="007A4395">
              <w:rPr>
                <w:rFonts w:ascii="Times New Roman" w:eastAsia="SimSun" w:hAnsi="Times New Roman"/>
                <w:noProof/>
                <w:lang w:eastAsia="sv-SE"/>
              </w:rPr>
              <w:t>Msg3</w:t>
            </w:r>
            <w:r w:rsidR="007A4395" w:rsidRPr="007A4395">
              <w:rPr>
                <w:rFonts w:ascii="Times New Roman" w:eastAsia="Times New Roman" w:hAnsi="Times New Roman"/>
                <w:noProof/>
                <w:lang w:eastAsia="sv-SE"/>
              </w:rPr>
              <w:t xml:space="preserve"> has not yet been transmitted, the MAC entity shall, for BL UEs or UEs in enhanced coverage:</w:t>
            </w:r>
          </w:p>
          <w:p w:rsidR="007A4395" w:rsidRPr="007A4395" w:rsidRDefault="007A4395" w:rsidP="007A4395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sv-SE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sv-SE"/>
              </w:rPr>
              <w:tab/>
            </w:r>
            <w:r w:rsidRPr="007A4395">
              <w:rPr>
                <w:rFonts w:ascii="Times New Roman" w:eastAsia="Times New Roman" w:hAnsi="Times New Roman"/>
                <w:highlight w:val="cyan"/>
                <w:lang w:eastAsia="ja-JP"/>
              </w:rPr>
              <w:t>select the Random Access Preambles group and the PRACH resource corresponding to the selected enhanced coverage</w:t>
            </w:r>
            <w:r w:rsidRPr="007A4395">
              <w:rPr>
                <w:rFonts w:ascii="Times New Roman" w:eastAsia="Times New Roman" w:hAnsi="Times New Roman"/>
                <w:noProof/>
                <w:highlight w:val="cyan"/>
                <w:lang w:eastAsia="ja-JP"/>
              </w:rPr>
              <w:t xml:space="preserve"> </w:t>
            </w:r>
            <w:r w:rsidRPr="007A4395">
              <w:rPr>
                <w:rFonts w:ascii="Times New Roman" w:eastAsia="Times New Roman" w:hAnsi="Times New Roman"/>
                <w:highlight w:val="cyan"/>
                <w:lang w:eastAsia="ja-JP"/>
              </w:rPr>
              <w:t>level;</w:t>
            </w:r>
          </w:p>
          <w:p w:rsidR="007A4395" w:rsidRPr="007A4395" w:rsidRDefault="007A4395" w:rsidP="007A4395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  <w:t>Except for BL UEs or UEs in enhanced coverage in case pr</w:t>
            </w:r>
            <w:r w:rsidR="005B7014">
              <w:rPr>
                <w:rFonts w:ascii="Times New Roman" w:eastAsia="Times New Roman" w:hAnsi="Times New Roman"/>
                <w:noProof/>
                <w:lang w:eastAsia="ja-JP"/>
              </w:rPr>
              <w:t xml:space="preserve">eamble group B does not exist, 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or for NB-IoT UEs, if </w:t>
            </w:r>
            <w:r w:rsidRPr="007A4395">
              <w:rPr>
                <w:rFonts w:ascii="Times New Roman" w:eastAsia="SimSun" w:hAnsi="Times New Roman"/>
                <w:noProof/>
              </w:rPr>
              <w:t>Msg3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 has not yet been transmitted, the MAC entity shall:</w:t>
            </w:r>
          </w:p>
          <w:p w:rsidR="007A4395" w:rsidRPr="007A4395" w:rsidRDefault="007A4395" w:rsidP="007A4395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  <w:t>if Random Access Preambles group B exists</w:t>
            </w:r>
            <w:r w:rsidRPr="007A4395">
              <w:rPr>
                <w:rFonts w:ascii="Times New Roman" w:eastAsia="Times New Roman" w:hAnsi="Times New Roman" w:hint="eastAsia"/>
                <w:noProof/>
                <w:lang w:eastAsia="ja-JP"/>
              </w:rPr>
              <w:t xml:space="preserve"> and any of the following events occur:</w:t>
            </w:r>
          </w:p>
          <w:p w:rsidR="007A4395" w:rsidRPr="007A4395" w:rsidRDefault="007A4395" w:rsidP="007A4395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i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  <w:t xml:space="preserve">the potential message size (UL data available for transmission plus MAC header and, where required, MAC control elements) is greater than </w:t>
            </w:r>
            <w:r w:rsidRPr="007A4395">
              <w:rPr>
                <w:rFonts w:ascii="Times New Roman" w:eastAsia="Times New Roman" w:hAnsi="Times New Roman"/>
                <w:i/>
                <w:noProof/>
                <w:lang w:eastAsia="ja-JP"/>
              </w:rPr>
              <w:t>messageSizeGroupA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 and the pathloss is less than P</w:t>
            </w:r>
            <w:r w:rsidRPr="007A4395">
              <w:rPr>
                <w:rFonts w:ascii="Times New Roman" w:eastAsia="Times New Roman" w:hAnsi="Times New Roman"/>
                <w:noProof/>
                <w:vertAlign w:val="subscript"/>
                <w:lang w:eastAsia="ja-JP"/>
              </w:rPr>
              <w:t xml:space="preserve">CMAX,c 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(of the Serving Cell performing the Random Access Procedure) </w:t>
            </w:r>
            <w:r w:rsidRPr="007A4395">
              <w:rPr>
                <w:rFonts w:ascii="Times New Roman" w:eastAsia="Times New Roman" w:hAnsi="Times New Roman"/>
                <w:lang w:eastAsia="ja-JP"/>
              </w:rPr>
              <w:t>–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 </w:t>
            </w:r>
            <w:proofErr w:type="spellStart"/>
            <w:r w:rsidRPr="007A4395">
              <w:rPr>
                <w:rFonts w:ascii="Times New Roman" w:eastAsia="Times New Roman" w:hAnsi="Times New Roman"/>
                <w:i/>
                <w:lang w:eastAsia="ja-JP"/>
              </w:rPr>
              <w:t>preambleInitialReceivedTargetPower</w:t>
            </w:r>
            <w:proofErr w:type="spellEnd"/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 </w:t>
            </w:r>
            <w:r w:rsidRPr="007A4395">
              <w:rPr>
                <w:rFonts w:ascii="Times New Roman" w:eastAsia="Times New Roman" w:hAnsi="Times New Roman"/>
                <w:lang w:eastAsia="ja-JP"/>
              </w:rPr>
              <w:t>–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 </w:t>
            </w:r>
            <w:r w:rsidRPr="007A4395">
              <w:rPr>
                <w:rFonts w:ascii="Times New Roman" w:eastAsia="Times New Roman" w:hAnsi="Times New Roman"/>
                <w:i/>
                <w:lang w:eastAsia="ja-JP"/>
              </w:rPr>
              <w:t>deltaPreambleMsg3</w:t>
            </w:r>
            <w:r w:rsidRPr="007A4395">
              <w:rPr>
                <w:rFonts w:ascii="Times New Roman" w:eastAsia="Times New Roman" w:hAnsi="Times New Roman"/>
                <w:lang w:eastAsia="ja-JP"/>
              </w:rPr>
              <w:t xml:space="preserve"> – </w:t>
            </w:r>
            <w:r w:rsidRPr="007A4395">
              <w:rPr>
                <w:rFonts w:ascii="Times New Roman" w:eastAsia="Times New Roman" w:hAnsi="Times New Roman"/>
                <w:i/>
                <w:noProof/>
                <w:lang w:eastAsia="ja-JP"/>
              </w:rPr>
              <w:t>messagePowerOffsetGroupB</w:t>
            </w:r>
            <w:r w:rsidRPr="007A4395">
              <w:rPr>
                <w:rFonts w:ascii="Times New Roman" w:eastAsia="Times New Roman" w:hAnsi="Times New Roman" w:hint="eastAsia"/>
                <w:noProof/>
                <w:lang w:eastAsia="ja-JP"/>
              </w:rPr>
              <w:t>;</w:t>
            </w:r>
          </w:p>
          <w:p w:rsidR="007A4395" w:rsidRPr="007A4395" w:rsidRDefault="007A4395" w:rsidP="007A4395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  <w:t xml:space="preserve">the </w:t>
            </w:r>
            <w:r w:rsidRPr="007A4395">
              <w:rPr>
                <w:rFonts w:ascii="Times New Roman" w:eastAsia="Times New Roman" w:hAnsi="Times New Roman" w:hint="eastAsia"/>
                <w:noProof/>
                <w:lang w:eastAsia="ja-JP"/>
              </w:rPr>
              <w:t>Random Access procedure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 </w:t>
            </w:r>
            <w:r w:rsidRPr="007A4395">
              <w:rPr>
                <w:rFonts w:ascii="Times New Roman" w:eastAsia="Times New Roman" w:hAnsi="Times New Roman" w:hint="eastAsia"/>
                <w:noProof/>
                <w:lang w:eastAsia="ja-JP"/>
              </w:rPr>
              <w:t xml:space="preserve">was initiated 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for the CCCH logical channel</w:t>
            </w:r>
            <w:r w:rsidRPr="007A4395">
              <w:rPr>
                <w:rFonts w:ascii="Times New Roman" w:eastAsia="Times New Roman" w:hAnsi="Times New Roman" w:hint="eastAsia"/>
                <w:noProof/>
                <w:lang w:eastAsia="ja-JP"/>
              </w:rPr>
              <w:t xml:space="preserve"> and the CCCH SDU size 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 xml:space="preserve">plus MAC header </w:t>
            </w:r>
            <w:r w:rsidRPr="007A4395">
              <w:rPr>
                <w:rFonts w:ascii="Times New Roman" w:eastAsia="Times New Roman" w:hAnsi="Times New Roman" w:hint="eastAsia"/>
                <w:noProof/>
                <w:lang w:eastAsia="ja-JP"/>
              </w:rPr>
              <w:t xml:space="preserve">is greater than </w:t>
            </w:r>
            <w:r w:rsidRPr="007A4395">
              <w:rPr>
                <w:rFonts w:ascii="Times New Roman" w:eastAsia="Times New Roman" w:hAnsi="Times New Roman" w:hint="eastAsia"/>
                <w:i/>
                <w:noProof/>
                <w:lang w:eastAsia="ja-JP"/>
              </w:rPr>
              <w:t>messageSizeGroupA</w:t>
            </w:r>
            <w:r w:rsidRPr="007A4395">
              <w:rPr>
                <w:rFonts w:ascii="Times New Roman" w:eastAsia="Times New Roman" w:hAnsi="Times New Roman"/>
                <w:lang w:eastAsia="ja-JP"/>
              </w:rPr>
              <w:t>;</w:t>
            </w:r>
          </w:p>
          <w:p w:rsidR="007A4395" w:rsidRPr="007A4395" w:rsidRDefault="007A4395" w:rsidP="007A4395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</w:r>
            <w:r w:rsidRPr="007A4395">
              <w:rPr>
                <w:rFonts w:ascii="Times New Roman" w:eastAsia="Times New Roman" w:hAnsi="Times New Roman"/>
                <w:noProof/>
                <w:highlight w:val="yellow"/>
                <w:lang w:eastAsia="ja-JP"/>
              </w:rPr>
              <w:t>select the Random Access Preambles group B;</w:t>
            </w:r>
          </w:p>
          <w:p w:rsidR="007A4395" w:rsidRPr="007A4395" w:rsidRDefault="007A4395" w:rsidP="007A4395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  <w:t>else:</w:t>
            </w:r>
          </w:p>
          <w:p w:rsidR="007A4395" w:rsidRPr="007A4395" w:rsidRDefault="007A4395" w:rsidP="007A4395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</w:r>
            <w:r w:rsidRPr="007A4395">
              <w:rPr>
                <w:rFonts w:ascii="Times New Roman" w:eastAsia="Times New Roman" w:hAnsi="Times New Roman"/>
                <w:noProof/>
                <w:highlight w:val="yellow"/>
                <w:lang w:eastAsia="ja-JP"/>
              </w:rPr>
              <w:t>select the Random Access Preambles group A.</w:t>
            </w:r>
          </w:p>
          <w:p w:rsidR="007A4395" w:rsidRPr="007A4395" w:rsidRDefault="007A4395" w:rsidP="007A4395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</w:r>
            <w:r w:rsidRPr="007A4395">
              <w:rPr>
                <w:rFonts w:ascii="Times New Roman" w:eastAsia="Times New Roman" w:hAnsi="Times New Roman"/>
                <w:lang w:eastAsia="ja-JP"/>
              </w:rPr>
              <w:t xml:space="preserve">else, if 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Msg3</w:t>
            </w:r>
            <w:r w:rsidRPr="007A4395">
              <w:rPr>
                <w:rFonts w:ascii="Times New Roman" w:eastAsia="Times New Roman" w:hAnsi="Times New Roman"/>
                <w:lang w:eastAsia="ja-JP"/>
              </w:rPr>
              <w:t xml:space="preserve"> is being retransmitted, the MAC entity shall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:</w:t>
            </w:r>
          </w:p>
          <w:p w:rsidR="007A4395" w:rsidRPr="007A4395" w:rsidRDefault="007A4395" w:rsidP="007A4395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lastRenderedPageBreak/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  <w:t xml:space="preserve">select the same group of Random Access Preambles as was used for the preamble transmission attempt corresponding to the first transmission of </w:t>
            </w:r>
            <w:r w:rsidRPr="007A4395">
              <w:rPr>
                <w:rFonts w:ascii="Times New Roman" w:eastAsia="SimSun" w:hAnsi="Times New Roman"/>
                <w:noProof/>
              </w:rPr>
              <w:t>Msg3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.</w:t>
            </w:r>
          </w:p>
          <w:p w:rsidR="007A4395" w:rsidRPr="007A4395" w:rsidRDefault="007A4395" w:rsidP="007A4395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noProof/>
                <w:lang w:eastAsia="ja-JP"/>
              </w:rPr>
            </w:pP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>-</w:t>
            </w:r>
            <w:r w:rsidRPr="007A4395">
              <w:rPr>
                <w:rFonts w:ascii="Times New Roman" w:eastAsia="Times New Roman" w:hAnsi="Times New Roman"/>
                <w:noProof/>
                <w:lang w:eastAsia="ja-JP"/>
              </w:rPr>
              <w:tab/>
              <w:t>randomly select a Random Access Preamble within the selected group. The random function shall be such that each of the allowed selections can be chosen with equal probability;</w:t>
            </w:r>
          </w:p>
        </w:tc>
      </w:tr>
    </w:tbl>
    <w:p w:rsidR="007A4395" w:rsidRPr="007A4395" w:rsidRDefault="007A4395" w:rsidP="007A4395"/>
    <w:p w:rsidR="007A4395" w:rsidRPr="007A4395" w:rsidRDefault="007A4395" w:rsidP="007A4395">
      <w:pPr>
        <w:ind w:left="567" w:hanging="567"/>
        <w:rPr>
          <w:b/>
        </w:rPr>
      </w:pPr>
    </w:p>
    <w:p w:rsidR="00B210B8" w:rsidRDefault="007D668E" w:rsidP="007D668E">
      <w:r>
        <w:t>In other words,</w:t>
      </w:r>
      <w:r w:rsidR="009C1B49">
        <w:t xml:space="preserve"> when group</w:t>
      </w:r>
      <w:r w:rsidR="007D08F3">
        <w:t xml:space="preserve"> A and B are</w:t>
      </w:r>
      <w:r w:rsidR="009C1B49">
        <w:t xml:space="preserve"> configured, t</w:t>
      </w:r>
      <w:r w:rsidR="00F00B32">
        <w:t>he UE will select</w:t>
      </w:r>
      <w:r w:rsidR="009C1B49">
        <w:t xml:space="preserve"> a preamble directly from group A or group B</w:t>
      </w:r>
      <w:r>
        <w:t xml:space="preserve"> </w:t>
      </w:r>
      <w:r w:rsidR="009C1B49">
        <w:t xml:space="preserve">and ignores the </w:t>
      </w:r>
      <w:r>
        <w:t xml:space="preserve">CE-level associated preamble ranges defined by </w:t>
      </w:r>
      <w:proofErr w:type="spellStart"/>
      <w:r w:rsidRPr="00127115">
        <w:rPr>
          <w:i/>
        </w:rPr>
        <w:t>firstPreamble</w:t>
      </w:r>
      <w:proofErr w:type="spellEnd"/>
      <w:r>
        <w:t xml:space="preserve"> and </w:t>
      </w:r>
      <w:proofErr w:type="spellStart"/>
      <w:r w:rsidRPr="00127115">
        <w:rPr>
          <w:i/>
        </w:rPr>
        <w:t>lastPreamble</w:t>
      </w:r>
      <w:proofErr w:type="spellEnd"/>
      <w:r>
        <w:t xml:space="preserve">. This behaviour is equivalent to the behaviour resulting from the configuration in </w:t>
      </w:r>
      <w:r w:rsidR="001F1649">
        <w:fldChar w:fldCharType="begin"/>
      </w:r>
      <w:r>
        <w:instrText xml:space="preserve"> REF _Ref479852430 \h </w:instrText>
      </w:r>
      <w:r w:rsidR="001F1649">
        <w:fldChar w:fldCharType="separate"/>
      </w:r>
      <w:r w:rsidRPr="00CE0424">
        <w:t xml:space="preserve">Figure </w:t>
      </w:r>
      <w:r>
        <w:rPr>
          <w:noProof/>
        </w:rPr>
        <w:t>3</w:t>
      </w:r>
      <w:r w:rsidR="001F1649">
        <w:fldChar w:fldCharType="end"/>
      </w:r>
      <w:r w:rsidR="009C1B49">
        <w:t xml:space="preserve"> in the previous section</w:t>
      </w:r>
      <w:r w:rsidR="007D08F3">
        <w:t xml:space="preserve"> (i.e.</w:t>
      </w:r>
      <w:r w:rsidR="005B7014">
        <w:t>,</w:t>
      </w:r>
      <w:r w:rsidR="007D08F3">
        <w:t xml:space="preserve"> Alt. 2)</w:t>
      </w:r>
      <w:r>
        <w:t xml:space="preserve">. This </w:t>
      </w:r>
      <w:r w:rsidR="009C1B49">
        <w:t xml:space="preserve">also </w:t>
      </w:r>
      <w:r>
        <w:t>means that the Note described in the pr</w:t>
      </w:r>
      <w:r w:rsidR="009C1B49">
        <w:t>evious section is inconsistent since it suggest</w:t>
      </w:r>
      <w:r w:rsidR="00D42088">
        <w:t>s</w:t>
      </w:r>
      <w:r w:rsidR="009C1B49">
        <w:t xml:space="preserve"> that the configuration in </w:t>
      </w:r>
      <w:r w:rsidR="001F1649">
        <w:fldChar w:fldCharType="begin"/>
      </w:r>
      <w:r w:rsidR="009C1B49">
        <w:instrText xml:space="preserve"> REF _Ref479852380 \h </w:instrText>
      </w:r>
      <w:r w:rsidR="001F1649">
        <w:fldChar w:fldCharType="separate"/>
      </w:r>
      <w:r w:rsidR="009C1B49" w:rsidRPr="00CE0424">
        <w:t xml:space="preserve">Figure </w:t>
      </w:r>
      <w:r w:rsidR="009C1B49">
        <w:rPr>
          <w:noProof/>
        </w:rPr>
        <w:t>2</w:t>
      </w:r>
      <w:r w:rsidR="001F1649">
        <w:fldChar w:fldCharType="end"/>
      </w:r>
      <w:r w:rsidR="009C1B49">
        <w:t xml:space="preserve"> should be possible to achieve</w:t>
      </w:r>
      <w:r w:rsidR="007D08F3">
        <w:t xml:space="preserve"> (i.e.</w:t>
      </w:r>
      <w:r w:rsidR="005B7014">
        <w:t>,</w:t>
      </w:r>
      <w:r w:rsidR="007D08F3">
        <w:t xml:space="preserve"> Alt. 1)</w:t>
      </w:r>
      <w:r w:rsidR="009C1B49">
        <w:t>.</w:t>
      </w:r>
    </w:p>
    <w:p w:rsidR="00B210B8" w:rsidRDefault="000E24A2" w:rsidP="007D668E">
      <w:pPr>
        <w:pStyle w:val="Observation"/>
      </w:pPr>
      <w:r>
        <w:t>In</w:t>
      </w:r>
      <w:r w:rsidR="00B210B8">
        <w:t xml:space="preserve"> the current MAC specification, the UE ignores the CE-level associated preamble ranges defined by </w:t>
      </w:r>
      <w:proofErr w:type="spellStart"/>
      <w:r w:rsidR="00B210B8" w:rsidRPr="00127115">
        <w:rPr>
          <w:i/>
        </w:rPr>
        <w:t>firstPreamble</w:t>
      </w:r>
      <w:proofErr w:type="spellEnd"/>
      <w:r w:rsidR="00B210B8">
        <w:t xml:space="preserve"> and </w:t>
      </w:r>
      <w:proofErr w:type="spellStart"/>
      <w:r w:rsidR="00B210B8" w:rsidRPr="00127115">
        <w:rPr>
          <w:i/>
        </w:rPr>
        <w:t>lastPreamble</w:t>
      </w:r>
      <w:proofErr w:type="spellEnd"/>
      <w:r w:rsidR="00B210B8">
        <w:t xml:space="preserve"> when preamble</w:t>
      </w:r>
      <w:r w:rsidR="00D42088">
        <w:t xml:space="preserve"> group</w:t>
      </w:r>
      <w:r w:rsidR="007D08F3">
        <w:t xml:space="preserve"> A and B are</w:t>
      </w:r>
      <w:r w:rsidR="00B210B8">
        <w:t xml:space="preserve"> configured.</w:t>
      </w:r>
    </w:p>
    <w:p w:rsidR="00487BD1" w:rsidRDefault="00487BD1" w:rsidP="00487BD1"/>
    <w:p w:rsidR="00B210B8" w:rsidRDefault="00DB06F6" w:rsidP="00B210B8">
      <w:pPr>
        <w:pStyle w:val="Heading1"/>
      </w:pPr>
      <w:r>
        <w:t>Discussion</w:t>
      </w:r>
    </w:p>
    <w:p w:rsidR="00B210B8" w:rsidRDefault="005A7D23" w:rsidP="00B210B8">
      <w:r>
        <w:t xml:space="preserve">It is useful if RAN2 discusses the intended behaviour </w:t>
      </w:r>
      <w:r w:rsidR="00AF3488">
        <w:t xml:space="preserve"> </w:t>
      </w:r>
    </w:p>
    <w:p w:rsidR="000D2FD3" w:rsidRDefault="000D2FD3" w:rsidP="00B210B8"/>
    <w:p w:rsidR="000D2FD3" w:rsidRDefault="000D2FD3" w:rsidP="000D2FD3">
      <w:pPr>
        <w:pStyle w:val="ListParagraph"/>
        <w:numPr>
          <w:ilvl w:val="0"/>
          <w:numId w:val="30"/>
        </w:numPr>
        <w:spacing w:after="240"/>
        <w:ind w:left="1134" w:hanging="774"/>
        <w:contextualSpacing w:val="0"/>
      </w:pPr>
      <w:r>
        <w:t xml:space="preserve">CE-level </w:t>
      </w:r>
      <w:proofErr w:type="gramStart"/>
      <w:r>
        <w:t>specific preamble</w:t>
      </w:r>
      <w:proofErr w:type="gramEnd"/>
      <w:r>
        <w:t xml:space="preserve"> ranges can be used at the same time as preamble group A and B are configured. When group A and B are configured the UE selects a preamble from the set resulting from the intersection of the CE-level </w:t>
      </w:r>
      <w:proofErr w:type="gramStart"/>
      <w:r>
        <w:t>specific preamble</w:t>
      </w:r>
      <w:proofErr w:type="gramEnd"/>
      <w:r>
        <w:t xml:space="preserve"> range and preamble group A or B.</w:t>
      </w:r>
    </w:p>
    <w:p w:rsidR="000D2FD3" w:rsidRDefault="000D2FD3" w:rsidP="000D2FD3">
      <w:pPr>
        <w:pStyle w:val="ListParagraph"/>
        <w:numPr>
          <w:ilvl w:val="0"/>
          <w:numId w:val="30"/>
        </w:numPr>
        <w:spacing w:after="240"/>
        <w:ind w:left="1134" w:hanging="774"/>
        <w:contextualSpacing w:val="0"/>
      </w:pPr>
      <w:r>
        <w:t xml:space="preserve">CE-level </w:t>
      </w:r>
      <w:proofErr w:type="gramStart"/>
      <w:r>
        <w:t>specific preamble</w:t>
      </w:r>
      <w:proofErr w:type="gramEnd"/>
      <w:r>
        <w:t xml:space="preserve"> ranges are not used (i.e. the parameters </w:t>
      </w:r>
      <w:proofErr w:type="spellStart"/>
      <w:r w:rsidRPr="00C43CB2">
        <w:rPr>
          <w:i/>
        </w:rPr>
        <w:t>firstPreamble</w:t>
      </w:r>
      <w:proofErr w:type="spellEnd"/>
      <w:r>
        <w:t xml:space="preserve"> and </w:t>
      </w:r>
      <w:proofErr w:type="spellStart"/>
      <w:r w:rsidRPr="00C43CB2">
        <w:rPr>
          <w:i/>
        </w:rPr>
        <w:t>lastPreamble</w:t>
      </w:r>
      <w:proofErr w:type="spellEnd"/>
      <w:r>
        <w:rPr>
          <w:i/>
        </w:rPr>
        <w:t xml:space="preserve"> </w:t>
      </w:r>
      <w:r>
        <w:t>are ignored) when preamble group A and B are configured. When group A and B are configured the UE selects a preamble directly from group A or B. This is in line with the current MAC behaviour.</w:t>
      </w:r>
    </w:p>
    <w:p w:rsidR="004114CC" w:rsidRDefault="001E6BA2" w:rsidP="001E6BA2">
      <w:r w:rsidRPr="001C24D5">
        <w:rPr>
          <w:b/>
        </w:rPr>
        <w:t>Dis</w:t>
      </w:r>
      <w:r>
        <w:rPr>
          <w:b/>
        </w:rPr>
        <w:t>c</w:t>
      </w:r>
      <w:r w:rsidRPr="001C24D5">
        <w:rPr>
          <w:b/>
        </w:rPr>
        <w:t>ussion point 1:</w:t>
      </w:r>
      <w:r w:rsidRPr="001C24D5">
        <w:t xml:space="preserve"> </w:t>
      </w:r>
      <w:r w:rsidR="007124FE">
        <w:t xml:space="preserve">Which of the alternatives 1 and 2 </w:t>
      </w:r>
      <w:r w:rsidR="004114CC">
        <w:t xml:space="preserve">above </w:t>
      </w:r>
      <w:r w:rsidR="007124FE">
        <w:t>do you prefer?</w:t>
      </w:r>
    </w:p>
    <w:p w:rsidR="001E6BA2" w:rsidRPr="002B7C40" w:rsidRDefault="001E6BA2" w:rsidP="001E6BA2">
      <w:pPr>
        <w:pStyle w:val="Caption"/>
        <w:keepNext/>
        <w:rPr>
          <w:lang w:val="en-US"/>
        </w:rPr>
      </w:pPr>
      <w:r>
        <w:t xml:space="preserve">Table 1. Company's view on Discussion point </w:t>
      </w:r>
      <w:r>
        <w:rPr>
          <w:rFonts w:hint="eastAsia"/>
        </w:rPr>
        <w:t>1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250"/>
        <w:gridCol w:w="6468"/>
      </w:tblGrid>
      <w:tr w:rsidR="001E6BA2" w:rsidRPr="000C0751" w:rsidTr="00D63E44">
        <w:trPr>
          <w:trHeight w:val="144"/>
          <w:jc w:val="center"/>
        </w:trPr>
        <w:tc>
          <w:tcPr>
            <w:tcW w:w="1872" w:type="dxa"/>
            <w:shd w:val="clear" w:color="auto" w:fill="BFBFBF"/>
            <w:noWrap/>
            <w:vAlign w:val="center"/>
          </w:tcPr>
          <w:p w:rsidR="001E6BA2" w:rsidRPr="000C0751" w:rsidRDefault="001E6BA2" w:rsidP="006A38A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1250" w:type="dxa"/>
            <w:shd w:val="clear" w:color="auto" w:fill="BFBFBF"/>
          </w:tcPr>
          <w:p w:rsidR="001E6BA2" w:rsidRDefault="000D2FD3" w:rsidP="006A38A3">
            <w:pPr>
              <w:spacing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Alternative</w:t>
            </w:r>
          </w:p>
        </w:tc>
        <w:tc>
          <w:tcPr>
            <w:tcW w:w="6468" w:type="dxa"/>
            <w:shd w:val="clear" w:color="auto" w:fill="BFBFBF"/>
            <w:vAlign w:val="center"/>
          </w:tcPr>
          <w:p w:rsidR="001E6BA2" w:rsidRPr="000C0751" w:rsidRDefault="001E6BA2" w:rsidP="006A38A3">
            <w:pPr>
              <w:spacing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1E6BA2" w:rsidRPr="000C0751" w:rsidTr="00D63E44">
        <w:trPr>
          <w:trHeight w:val="144"/>
          <w:jc w:val="center"/>
        </w:trPr>
        <w:tc>
          <w:tcPr>
            <w:tcW w:w="1872" w:type="dxa"/>
            <w:shd w:val="clear" w:color="auto" w:fill="E0E0E0"/>
            <w:noWrap/>
          </w:tcPr>
          <w:p w:rsidR="001E6BA2" w:rsidRPr="000C0751" w:rsidRDefault="001E6BA2" w:rsidP="006A38A3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Ericsson</w:t>
            </w:r>
          </w:p>
        </w:tc>
        <w:tc>
          <w:tcPr>
            <w:tcW w:w="1250" w:type="dxa"/>
          </w:tcPr>
          <w:p w:rsidR="001E6BA2" w:rsidRPr="000C0751" w:rsidRDefault="000D2FD3" w:rsidP="000D2FD3">
            <w:pPr>
              <w:spacing w:after="0"/>
              <w:ind w:left="202"/>
              <w:contextualSpacing/>
              <w:jc w:val="center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</w:p>
        </w:tc>
        <w:tc>
          <w:tcPr>
            <w:tcW w:w="6468" w:type="dxa"/>
            <w:shd w:val="clear" w:color="auto" w:fill="auto"/>
          </w:tcPr>
          <w:p w:rsidR="001E6BA2" w:rsidRPr="001E6BA2" w:rsidRDefault="00986C67" w:rsidP="00986C67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 xml:space="preserve">Alternative 2 is simpler and even if alternative 1 was possible we anyway expect that systems will be configured according </w:t>
            </w:r>
            <w:proofErr w:type="gramStart"/>
            <w:r>
              <w:rPr>
                <w:bCs/>
              </w:rPr>
              <w:t>to</w:t>
            </w:r>
            <w:proofErr w:type="gramEnd"/>
            <w:r>
              <w:rPr>
                <w:bCs/>
              </w:rPr>
              <w:t xml:space="preserve"> alternative 2 in practice (i.e. when preamble group A and B are used </w:t>
            </w:r>
            <w:r w:rsidR="00332D40">
              <w:rPr>
                <w:bCs/>
              </w:rPr>
              <w:t>the network would</w:t>
            </w:r>
            <w:r>
              <w:rPr>
                <w:bCs/>
              </w:rPr>
              <w:t xml:space="preserve"> set </w:t>
            </w:r>
            <w:proofErr w:type="spellStart"/>
            <w:r w:rsidR="00332D40" w:rsidRPr="00C43CB2">
              <w:rPr>
                <w:i/>
              </w:rPr>
              <w:t>firstPreamble</w:t>
            </w:r>
            <w:proofErr w:type="spellEnd"/>
            <w:r w:rsidR="00332D40">
              <w:t xml:space="preserve"> = 0 and </w:t>
            </w:r>
            <w:proofErr w:type="spellStart"/>
            <w:r w:rsidR="00332D40" w:rsidRPr="00C43CB2">
              <w:rPr>
                <w:i/>
              </w:rPr>
              <w:t>lastPreamble</w:t>
            </w:r>
            <w:proofErr w:type="spellEnd"/>
            <w:r w:rsidR="00332D40">
              <w:t xml:space="preserve"> = </w:t>
            </w:r>
            <w:proofErr w:type="spellStart"/>
            <w:r w:rsidR="00332D40" w:rsidRPr="00C43CB2">
              <w:rPr>
                <w:i/>
              </w:rPr>
              <w:t>numberOfRA</w:t>
            </w:r>
            <w:proofErr w:type="spellEnd"/>
            <w:r w:rsidR="00332D40" w:rsidRPr="00C43CB2">
              <w:rPr>
                <w:i/>
              </w:rPr>
              <w:t>-Preambles</w:t>
            </w:r>
            <w:r w:rsidR="00332D40">
              <w:rPr>
                <w:i/>
              </w:rPr>
              <w:t xml:space="preserve"> </w:t>
            </w:r>
            <w:r w:rsidR="00332D40">
              <w:t xml:space="preserve">– 1 </w:t>
            </w:r>
            <w:r w:rsidR="00332D40">
              <w:rPr>
                <w:bCs/>
              </w:rPr>
              <w:t>for all CE levels</w:t>
            </w:r>
            <w:r>
              <w:rPr>
                <w:bCs/>
              </w:rPr>
              <w:t xml:space="preserve">). </w:t>
            </w:r>
            <w:r w:rsidR="00BD6E98">
              <w:rPr>
                <w:bCs/>
              </w:rPr>
              <w:t xml:space="preserve">We </w:t>
            </w:r>
            <w:r>
              <w:rPr>
                <w:bCs/>
              </w:rPr>
              <w:t>believe alternative 2</w:t>
            </w:r>
            <w:r w:rsidR="00332D40">
              <w:rPr>
                <w:bCs/>
              </w:rPr>
              <w:t xml:space="preserve"> was</w:t>
            </w:r>
            <w:r>
              <w:rPr>
                <w:bCs/>
              </w:rPr>
              <w:t xml:space="preserve"> the </w:t>
            </w:r>
            <w:r w:rsidR="00BD6E98">
              <w:rPr>
                <w:bCs/>
              </w:rPr>
              <w:t>originally intended behaviour</w:t>
            </w:r>
            <w:r>
              <w:rPr>
                <w:bCs/>
              </w:rPr>
              <w:t xml:space="preserve"> but </w:t>
            </w:r>
            <w:r w:rsidR="00332D40">
              <w:rPr>
                <w:bCs/>
              </w:rPr>
              <w:t xml:space="preserve">then the note in section 5.1.1 was added which caused </w:t>
            </w:r>
            <w:r w:rsidR="007D08F3">
              <w:rPr>
                <w:bCs/>
              </w:rPr>
              <w:t>this</w:t>
            </w:r>
            <w:r w:rsidR="00332D40">
              <w:rPr>
                <w:bCs/>
              </w:rPr>
              <w:t xml:space="preserve"> confusion. </w:t>
            </w:r>
          </w:p>
        </w:tc>
      </w:tr>
      <w:tr w:rsidR="001E6BA2" w:rsidRPr="000C0751" w:rsidTr="00D63E44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1E6BA2" w:rsidRPr="005E2E57" w:rsidRDefault="005E2E57" w:rsidP="006A38A3">
            <w:pPr>
              <w:spacing w:after="0"/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 w:hint="eastAsia"/>
                <w:b/>
                <w:bCs/>
                <w:lang w:eastAsia="ko-KR"/>
              </w:rPr>
              <w:t>LG</w:t>
            </w:r>
          </w:p>
        </w:tc>
        <w:tc>
          <w:tcPr>
            <w:tcW w:w="1250" w:type="dxa"/>
          </w:tcPr>
          <w:p w:rsidR="001E6BA2" w:rsidRPr="005E2E57" w:rsidRDefault="005E2E57" w:rsidP="005E2E57">
            <w:pPr>
              <w:spacing w:after="0"/>
              <w:ind w:left="202"/>
              <w:contextualSpacing/>
              <w:jc w:val="center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1</w:t>
            </w:r>
          </w:p>
        </w:tc>
        <w:tc>
          <w:tcPr>
            <w:tcW w:w="6468" w:type="dxa"/>
            <w:shd w:val="clear" w:color="auto" w:fill="auto"/>
          </w:tcPr>
          <w:p w:rsidR="00480B29" w:rsidRPr="00480B29" w:rsidRDefault="005E2E57" w:rsidP="005E2E57">
            <w:pPr>
              <w:spacing w:after="0"/>
              <w:contextualSpacing/>
              <w:jc w:val="left"/>
              <w:textAlignment w:val="auto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In our understanding, </w:t>
            </w:r>
            <w:r w:rsidR="00EE1D6B">
              <w:rPr>
                <w:rFonts w:eastAsia="Malgun Gothic" w:hint="eastAsia"/>
                <w:bCs/>
                <w:lang w:eastAsia="ko-KR"/>
              </w:rPr>
              <w:t xml:space="preserve">if </w:t>
            </w:r>
            <w:proofErr w:type="spellStart"/>
            <w:r w:rsidR="00EE1D6B" w:rsidRPr="00C43CB2">
              <w:rPr>
                <w:i/>
              </w:rPr>
              <w:t>firstPreamble</w:t>
            </w:r>
            <w:proofErr w:type="spellEnd"/>
            <w:r w:rsidR="00EE1D6B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EE1D6B" w:rsidRPr="007A580A">
              <w:rPr>
                <w:rFonts w:eastAsia="Malgun Gothic" w:hint="eastAsia"/>
                <w:lang w:eastAsia="ko-KR"/>
              </w:rPr>
              <w:t>and</w:t>
            </w:r>
            <w:r w:rsidR="00EE1D6B">
              <w:rPr>
                <w:rFonts w:eastAsia="Malgun Gothic" w:hint="eastAsia"/>
                <w:i/>
                <w:lang w:eastAsia="ko-KR"/>
              </w:rPr>
              <w:t xml:space="preserve"> </w:t>
            </w:r>
            <w:proofErr w:type="spellStart"/>
            <w:r w:rsidR="00EE1D6B" w:rsidRPr="00C43CB2">
              <w:rPr>
                <w:i/>
              </w:rPr>
              <w:t>lastPreamble</w:t>
            </w:r>
            <w:proofErr w:type="spellEnd"/>
            <w:r w:rsidR="00EE1D6B">
              <w:rPr>
                <w:rFonts w:eastAsia="Malgun Gothic" w:hint="eastAsia"/>
                <w:bCs/>
                <w:lang w:eastAsia="ko-KR"/>
              </w:rPr>
              <w:t xml:space="preserve"> exist, </w:t>
            </w:r>
            <w:r>
              <w:rPr>
                <w:rFonts w:eastAsia="Malgun Gothic" w:hint="eastAsia"/>
                <w:bCs/>
                <w:lang w:eastAsia="ko-KR"/>
              </w:rPr>
              <w:t xml:space="preserve">Alternative 1 is the suitable way to express </w:t>
            </w:r>
            <w:r w:rsidR="00EE1D6B">
              <w:rPr>
                <w:rFonts w:eastAsia="Malgun Gothic" w:hint="eastAsia"/>
                <w:bCs/>
                <w:lang w:eastAsia="ko-KR"/>
              </w:rPr>
              <w:t xml:space="preserve">the </w:t>
            </w:r>
            <w:r>
              <w:rPr>
                <w:rFonts w:eastAsia="Malgun Gothic" w:hint="eastAsia"/>
                <w:bCs/>
                <w:lang w:eastAsia="ko-KR"/>
              </w:rPr>
              <w:t xml:space="preserve">current specification. </w:t>
            </w:r>
            <w:r w:rsidR="00542539">
              <w:rPr>
                <w:rFonts w:eastAsia="Malgun Gothic" w:hint="eastAsia"/>
                <w:bCs/>
                <w:lang w:eastAsia="ko-KR"/>
              </w:rPr>
              <w:t xml:space="preserve">Different CE level can have </w:t>
            </w:r>
            <w:r w:rsidR="00542539">
              <w:rPr>
                <w:rFonts w:eastAsia="Malgun Gothic"/>
                <w:bCs/>
                <w:lang w:eastAsia="ko-KR"/>
              </w:rPr>
              <w:t>different</w:t>
            </w:r>
            <w:r w:rsidR="00542539">
              <w:rPr>
                <w:rFonts w:eastAsia="Malgun Gothic" w:hint="eastAsia"/>
                <w:bCs/>
                <w:lang w:eastAsia="ko-KR"/>
              </w:rPr>
              <w:t xml:space="preserve"> preamble </w:t>
            </w:r>
            <w:r w:rsidR="00D34B47">
              <w:rPr>
                <w:rFonts w:eastAsia="Malgun Gothic" w:hint="eastAsia"/>
                <w:bCs/>
                <w:lang w:eastAsia="ko-KR"/>
              </w:rPr>
              <w:t xml:space="preserve">range and </w:t>
            </w:r>
            <w:r w:rsidR="00C80050">
              <w:rPr>
                <w:rFonts w:eastAsia="Malgun Gothic" w:hint="eastAsia"/>
                <w:bCs/>
                <w:lang w:eastAsia="ko-KR"/>
              </w:rPr>
              <w:t xml:space="preserve">the only preambles within this range should be used for RA at each CE level. Thus </w:t>
            </w:r>
            <w:r w:rsidR="00D34B47">
              <w:rPr>
                <w:rFonts w:eastAsia="Malgun Gothic" w:hint="eastAsia"/>
                <w:bCs/>
                <w:lang w:eastAsia="ko-KR"/>
              </w:rPr>
              <w:t>preamble group A or B</w:t>
            </w:r>
            <w:r w:rsidR="009260D0">
              <w:rPr>
                <w:rFonts w:eastAsia="Malgun Gothic" w:hint="eastAsia"/>
                <w:bCs/>
                <w:lang w:eastAsia="ko-KR"/>
              </w:rPr>
              <w:t xml:space="preserve"> should be defined within this preamble range. </w:t>
            </w:r>
            <w:r w:rsidR="00C80050">
              <w:rPr>
                <w:rFonts w:eastAsia="Malgun Gothic" w:hint="eastAsia"/>
                <w:bCs/>
                <w:lang w:eastAsia="ko-KR"/>
              </w:rPr>
              <w:t xml:space="preserve">In this sense, </w:t>
            </w:r>
            <w:r w:rsidR="00D34B47">
              <w:rPr>
                <w:rFonts w:eastAsia="Malgun Gothic" w:hint="eastAsia"/>
                <w:bCs/>
                <w:lang w:eastAsia="ko-KR"/>
              </w:rPr>
              <w:t xml:space="preserve">when preamble group A or B exist, group A can be defined from </w:t>
            </w:r>
            <w:proofErr w:type="spellStart"/>
            <w:r w:rsidR="00D34B47" w:rsidRPr="00C43CB2">
              <w:rPr>
                <w:i/>
              </w:rPr>
              <w:t>firstPreamble</w:t>
            </w:r>
            <w:proofErr w:type="spellEnd"/>
            <w:r w:rsidR="00D34B47">
              <w:rPr>
                <w:rFonts w:eastAsia="Malgun Gothic" w:hint="eastAsia"/>
                <w:bCs/>
                <w:lang w:eastAsia="ko-KR"/>
              </w:rPr>
              <w:t xml:space="preserve"> to </w:t>
            </w:r>
            <w:r w:rsidR="00D34B47" w:rsidRPr="002F4F3B">
              <w:rPr>
                <w:i/>
                <w:noProof/>
              </w:rPr>
              <w:t>sizeOfRA-PreamblesGroupA</w:t>
            </w:r>
            <w:r w:rsidR="00D34B47" w:rsidRPr="002F4F3B">
              <w:rPr>
                <w:noProof/>
              </w:rPr>
              <w:t xml:space="preserve"> </w:t>
            </w:r>
            <w:r w:rsidR="00D34B47" w:rsidRPr="002F4F3B">
              <w:t>–</w:t>
            </w:r>
            <w:r w:rsidR="00D34B47" w:rsidRPr="002F4F3B">
              <w:rPr>
                <w:noProof/>
              </w:rPr>
              <w:t xml:space="preserve"> 1</w:t>
            </w:r>
            <w:r w:rsidR="00D34B47">
              <w:rPr>
                <w:rFonts w:eastAsia="Malgun Gothic" w:hint="eastAsia"/>
                <w:noProof/>
                <w:lang w:eastAsia="ko-KR"/>
              </w:rPr>
              <w:t xml:space="preserve"> and group B is from </w:t>
            </w:r>
            <w:r w:rsidR="00D34B47" w:rsidRPr="002F4F3B">
              <w:rPr>
                <w:i/>
                <w:noProof/>
              </w:rPr>
              <w:t>sizeOfRA-PreamblesGroupA</w:t>
            </w:r>
            <w:r w:rsidR="00D34B47">
              <w:rPr>
                <w:rFonts w:eastAsia="Malgun Gothic" w:hint="eastAsia"/>
                <w:noProof/>
                <w:lang w:eastAsia="ko-KR"/>
              </w:rPr>
              <w:t xml:space="preserve"> to</w:t>
            </w:r>
            <w:r w:rsidR="00D34B47">
              <w:rPr>
                <w:rFonts w:eastAsia="Malgun Gothic" w:hint="eastAsia"/>
                <w:i/>
                <w:lang w:eastAsia="ko-KR"/>
              </w:rPr>
              <w:t xml:space="preserve"> </w:t>
            </w:r>
            <w:proofErr w:type="spellStart"/>
            <w:r w:rsidR="00D34B47" w:rsidRPr="00C43CB2">
              <w:rPr>
                <w:i/>
              </w:rPr>
              <w:t>lastPreamble</w:t>
            </w:r>
            <w:proofErr w:type="spellEnd"/>
            <w:r w:rsidR="00D34B47">
              <w:rPr>
                <w:rFonts w:eastAsia="Malgun Gothic" w:hint="eastAsia"/>
                <w:noProof/>
                <w:lang w:eastAsia="ko-KR"/>
              </w:rPr>
              <w:t>.</w:t>
            </w:r>
            <w:r w:rsidR="00C80050">
              <w:rPr>
                <w:rFonts w:eastAsia="Malgun Gothic" w:hint="eastAsia"/>
                <w:noProof/>
                <w:lang w:eastAsia="ko-KR"/>
              </w:rPr>
              <w:t xml:space="preserve"> </w:t>
            </w:r>
            <w:r w:rsidR="00E56076">
              <w:rPr>
                <w:rFonts w:eastAsia="Malgun Gothic" w:hint="eastAsia"/>
                <w:noProof/>
                <w:lang w:eastAsia="ko-KR"/>
              </w:rPr>
              <w:t xml:space="preserve">We also believe </w:t>
            </w:r>
            <w:r w:rsidR="00E56076" w:rsidRPr="00E56076">
              <w:rPr>
                <w:rFonts w:eastAsia="Malgun Gothic"/>
                <w:noProof/>
                <w:lang w:eastAsia="ko-KR"/>
              </w:rPr>
              <w:t xml:space="preserve">the </w:t>
            </w:r>
            <w:r w:rsidR="007A580A">
              <w:rPr>
                <w:rFonts w:eastAsia="Malgun Gothic" w:hint="eastAsia"/>
                <w:noProof/>
                <w:lang w:eastAsia="ko-KR"/>
              </w:rPr>
              <w:t>NOTE</w:t>
            </w:r>
            <w:r w:rsidR="00E56076" w:rsidRPr="00E56076">
              <w:rPr>
                <w:rFonts w:eastAsia="Malgun Gothic"/>
                <w:noProof/>
                <w:lang w:eastAsia="ko-KR"/>
              </w:rPr>
              <w:t xml:space="preserve"> in section 5.1.1 was added</w:t>
            </w:r>
            <w:r w:rsidR="00E56076">
              <w:rPr>
                <w:rFonts w:eastAsia="Malgun Gothic" w:hint="eastAsia"/>
                <w:noProof/>
                <w:lang w:eastAsia="ko-KR"/>
              </w:rPr>
              <w:t xml:space="preserve"> to clarify that</w:t>
            </w:r>
            <w:r w:rsidR="002E4A3B">
              <w:rPr>
                <w:rFonts w:eastAsia="Malgun Gothic" w:hint="eastAsia"/>
                <w:noProof/>
                <w:lang w:eastAsia="ko-KR"/>
              </w:rPr>
              <w:t xml:space="preserve"> </w:t>
            </w:r>
            <w:proofErr w:type="spellStart"/>
            <w:r w:rsidR="002E4A3B" w:rsidRPr="00C43CB2">
              <w:rPr>
                <w:i/>
              </w:rPr>
              <w:t>firstPreamble</w:t>
            </w:r>
            <w:proofErr w:type="spellEnd"/>
            <w:r w:rsidR="002E4A3B">
              <w:rPr>
                <w:rFonts w:eastAsia="Malgun Gothic" w:hint="eastAsia"/>
                <w:noProof/>
                <w:lang w:eastAsia="ko-KR"/>
              </w:rPr>
              <w:t xml:space="preserve"> should be smaller than </w:t>
            </w:r>
            <w:r w:rsidR="002E4A3B" w:rsidRPr="002F4F3B">
              <w:rPr>
                <w:i/>
                <w:noProof/>
              </w:rPr>
              <w:t>sizeOfRA-PreamblesGroupA</w:t>
            </w:r>
            <w:r w:rsidR="002E4A3B">
              <w:rPr>
                <w:rFonts w:eastAsia="Malgun Gothic" w:hint="eastAsia"/>
                <w:noProof/>
                <w:lang w:eastAsia="ko-KR"/>
              </w:rPr>
              <w:t xml:space="preserve"> and </w:t>
            </w:r>
            <w:proofErr w:type="spellStart"/>
            <w:r w:rsidR="002E4A3B" w:rsidRPr="00C43CB2">
              <w:rPr>
                <w:i/>
              </w:rPr>
              <w:t>lastPreamble</w:t>
            </w:r>
            <w:proofErr w:type="spellEnd"/>
            <w:r w:rsidR="002E4A3B">
              <w:rPr>
                <w:rFonts w:eastAsia="Malgun Gothic" w:hint="eastAsia"/>
                <w:noProof/>
                <w:lang w:eastAsia="ko-KR"/>
              </w:rPr>
              <w:t xml:space="preserve"> </w:t>
            </w:r>
            <w:r w:rsidR="00E56076">
              <w:rPr>
                <w:rFonts w:eastAsia="Malgun Gothic" w:hint="eastAsia"/>
                <w:noProof/>
                <w:lang w:eastAsia="ko-KR"/>
              </w:rPr>
              <w:t xml:space="preserve">should be larger than </w:t>
            </w:r>
            <w:r w:rsidR="00E56076" w:rsidRPr="002F4F3B">
              <w:rPr>
                <w:i/>
                <w:noProof/>
              </w:rPr>
              <w:t>sizeOfRA-PreamblesGroupA</w:t>
            </w:r>
            <w:r w:rsidR="002E4A3B">
              <w:rPr>
                <w:rFonts w:eastAsia="Malgun Gothic" w:hint="eastAsia"/>
                <w:noProof/>
                <w:lang w:eastAsia="ko-KR"/>
              </w:rPr>
              <w:t xml:space="preserve">. Please refer to the figure </w:t>
            </w:r>
            <w:r w:rsidR="00480B29">
              <w:rPr>
                <w:rFonts w:eastAsia="Malgun Gothic" w:hint="eastAsia"/>
                <w:noProof/>
                <w:lang w:eastAsia="ko-KR"/>
              </w:rPr>
              <w:t>below</w:t>
            </w:r>
            <w:r w:rsidR="00A1437F">
              <w:rPr>
                <w:rFonts w:eastAsia="Malgun Gothic" w:hint="eastAsia"/>
                <w:noProof/>
                <w:lang w:eastAsia="ko-KR"/>
              </w:rPr>
              <w:t>.</w:t>
            </w:r>
          </w:p>
          <w:p w:rsidR="005E2E57" w:rsidRPr="002E4A3B" w:rsidRDefault="00480B29" w:rsidP="005E2E57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object w:dxaOrig="10815" w:dyaOrig="6631" w14:anchorId="0A7566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2.75pt;height:192pt" o:ole="">
                  <v:imagedata r:id="rId17" o:title=""/>
                </v:shape>
                <o:OLEObject Type="Embed" ProgID="Visio.Drawing.15" ShapeID="_x0000_i1025" DrawAspect="Content" ObjectID="_1555476550" r:id="rId18"/>
              </w:object>
            </w:r>
          </w:p>
          <w:p w:rsidR="007A580A" w:rsidRDefault="007A580A" w:rsidP="007A580A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</w:p>
          <w:p w:rsidR="001E6BA2" w:rsidRDefault="007A580A" w:rsidP="00EE1D6B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However if </w:t>
            </w:r>
            <w:r w:rsidRPr="00C43CB2">
              <w:rPr>
                <w:i/>
              </w:rPr>
              <w:t>firstPreamble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7A580A">
              <w:rPr>
                <w:rFonts w:eastAsia="Malgun Gothic" w:hint="eastAsia"/>
                <w:lang w:eastAsia="ko-KR"/>
              </w:rPr>
              <w:t>and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C43CB2">
              <w:rPr>
                <w:i/>
              </w:rPr>
              <w:t>lastPreamble</w:t>
            </w:r>
            <w:r>
              <w:rPr>
                <w:rFonts w:eastAsia="Malgun Gothic" w:hint="eastAsia"/>
                <w:bCs/>
                <w:lang w:eastAsia="ko-KR"/>
              </w:rPr>
              <w:t xml:space="preserve"> are not existed because of optional configuration, </w:t>
            </w:r>
            <w:r w:rsidR="00EE1D6B">
              <w:rPr>
                <w:rFonts w:eastAsia="Malgun Gothic" w:hint="eastAsia"/>
                <w:bCs/>
                <w:lang w:eastAsia="ko-KR"/>
              </w:rPr>
              <w:t xml:space="preserve">an </w:t>
            </w:r>
            <w:r>
              <w:rPr>
                <w:rFonts w:eastAsia="Malgun Gothic" w:hint="eastAsia"/>
                <w:bCs/>
                <w:lang w:eastAsia="ko-KR"/>
              </w:rPr>
              <w:t xml:space="preserve">UE can </w:t>
            </w:r>
            <w:r w:rsidR="00EE1D6B">
              <w:rPr>
                <w:rFonts w:eastAsia="Malgun Gothic" w:hint="eastAsia"/>
                <w:bCs/>
                <w:lang w:eastAsia="ko-KR"/>
              </w:rPr>
              <w:t>have</w:t>
            </w:r>
            <w:r>
              <w:rPr>
                <w:rFonts w:eastAsia="Malgun Gothic" w:hint="eastAsia"/>
                <w:bCs/>
                <w:lang w:eastAsia="ko-KR"/>
              </w:rPr>
              <w:t xml:space="preserve"> whole range of preamble (0 t</w:t>
            </w:r>
            <w:r w:rsidR="00EE1D6B">
              <w:rPr>
                <w:rFonts w:eastAsia="Malgun Gothic" w:hint="eastAsia"/>
                <w:bCs/>
                <w:lang w:eastAsia="ko-KR"/>
              </w:rPr>
              <w:t>hrough</w:t>
            </w:r>
            <w:r>
              <w:rPr>
                <w:rFonts w:eastAsia="Malgun Gothic" w:hint="eastAsia"/>
                <w:bCs/>
                <w:lang w:eastAsia="ko-KR"/>
              </w:rPr>
              <w:t xml:space="preserve"> </w:t>
            </w:r>
            <w:r w:rsidR="00EE1D6B" w:rsidRPr="00EE1D6B">
              <w:rPr>
                <w:rFonts w:eastAsia="Malgun Gothic"/>
                <w:bCs/>
                <w:i/>
                <w:lang w:eastAsia="ko-KR"/>
              </w:rPr>
              <w:t>numberOfRA-Preambles</w:t>
            </w:r>
            <w:r>
              <w:rPr>
                <w:rFonts w:eastAsia="Malgun Gothic" w:hint="eastAsia"/>
                <w:bCs/>
                <w:lang w:eastAsia="ko-KR"/>
              </w:rPr>
              <w:t>)</w:t>
            </w:r>
            <w:r w:rsidR="00EE1D6B">
              <w:rPr>
                <w:rFonts w:eastAsia="Malgun Gothic" w:hint="eastAsia"/>
                <w:bCs/>
                <w:lang w:eastAsia="ko-KR"/>
              </w:rPr>
              <w:t xml:space="preserve"> for group A and B. Thus </w:t>
            </w:r>
            <w:r w:rsidR="005B0695">
              <w:rPr>
                <w:rFonts w:eastAsia="Malgun Gothic" w:hint="eastAsia"/>
                <w:bCs/>
                <w:lang w:eastAsia="ko-KR"/>
              </w:rPr>
              <w:t>all</w:t>
            </w:r>
            <w:r w:rsidR="00EE1D6B">
              <w:rPr>
                <w:rFonts w:eastAsia="Malgun Gothic" w:hint="eastAsia"/>
                <w:bCs/>
                <w:lang w:eastAsia="ko-KR"/>
              </w:rPr>
              <w:t xml:space="preserve"> CE level </w:t>
            </w:r>
            <w:r w:rsidR="005B0695">
              <w:rPr>
                <w:rFonts w:eastAsia="Malgun Gothic" w:hint="eastAsia"/>
                <w:bCs/>
                <w:lang w:eastAsia="ko-KR"/>
              </w:rPr>
              <w:t xml:space="preserve">should </w:t>
            </w:r>
            <w:r w:rsidR="00EE1D6B">
              <w:rPr>
                <w:rFonts w:eastAsia="Malgun Gothic" w:hint="eastAsia"/>
                <w:bCs/>
                <w:lang w:eastAsia="ko-KR"/>
              </w:rPr>
              <w:t>ha</w:t>
            </w:r>
            <w:r w:rsidR="005B0695">
              <w:rPr>
                <w:rFonts w:eastAsia="Malgun Gothic" w:hint="eastAsia"/>
                <w:bCs/>
                <w:lang w:eastAsia="ko-KR"/>
              </w:rPr>
              <w:t>ve</w:t>
            </w:r>
            <w:r w:rsidR="00EE1D6B">
              <w:rPr>
                <w:rFonts w:eastAsia="Malgun Gothic" w:hint="eastAsia"/>
                <w:bCs/>
                <w:lang w:eastAsia="ko-KR"/>
              </w:rPr>
              <w:t xml:space="preserve"> same group A and B if </w:t>
            </w:r>
            <w:r w:rsidR="00EE1D6B" w:rsidRPr="00C43CB2">
              <w:rPr>
                <w:i/>
              </w:rPr>
              <w:t>firstPreamble</w:t>
            </w:r>
            <w:r w:rsidR="00EE1D6B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EE1D6B" w:rsidRPr="007A580A">
              <w:rPr>
                <w:rFonts w:eastAsia="Malgun Gothic" w:hint="eastAsia"/>
                <w:lang w:eastAsia="ko-KR"/>
              </w:rPr>
              <w:t>and</w:t>
            </w:r>
            <w:r w:rsidR="00EE1D6B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EE1D6B" w:rsidRPr="00C43CB2">
              <w:rPr>
                <w:i/>
              </w:rPr>
              <w:t>lastPreamble</w:t>
            </w:r>
            <w:r w:rsidR="00EE1D6B">
              <w:rPr>
                <w:rFonts w:eastAsia="Malgun Gothic" w:hint="eastAsia"/>
                <w:bCs/>
                <w:lang w:eastAsia="ko-KR"/>
              </w:rPr>
              <w:t xml:space="preserve"> are not existed</w:t>
            </w:r>
            <w:r w:rsidR="005B0695">
              <w:rPr>
                <w:rFonts w:eastAsia="Malgun Gothic" w:hint="eastAsia"/>
                <w:bCs/>
                <w:lang w:eastAsia="ko-KR"/>
              </w:rPr>
              <w:t xml:space="preserve"> at each CE level. Please find </w:t>
            </w:r>
            <w:r w:rsidR="005B0695">
              <w:rPr>
                <w:rFonts w:eastAsia="Malgun Gothic"/>
                <w:bCs/>
                <w:lang w:eastAsia="ko-KR"/>
              </w:rPr>
              <w:t>detail</w:t>
            </w:r>
            <w:r w:rsidR="005B0695">
              <w:rPr>
                <w:rFonts w:eastAsia="Malgun Gothic" w:hint="eastAsia"/>
                <w:bCs/>
                <w:lang w:eastAsia="ko-KR"/>
              </w:rPr>
              <w:t xml:space="preserve"> at the below figure. </w:t>
            </w:r>
          </w:p>
          <w:p w:rsidR="005B0695" w:rsidRDefault="005B0695" w:rsidP="00EE1D6B">
            <w:pPr>
              <w:spacing w:after="0"/>
              <w:contextualSpacing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object w:dxaOrig="10815" w:dyaOrig="6631" w14:anchorId="10D1F77C">
                <v:shape id="_x0000_i1026" type="#_x0000_t75" style="width:310.5pt;height:190.5pt" o:ole="">
                  <v:imagedata r:id="rId19" o:title=""/>
                </v:shape>
                <o:OLEObject Type="Embed" ProgID="Visio.Drawing.15" ShapeID="_x0000_i1026" DrawAspect="Content" ObjectID="_1555476551" r:id="rId20"/>
              </w:object>
            </w:r>
          </w:p>
          <w:p w:rsidR="005B0695" w:rsidRPr="005B0695" w:rsidRDefault="005B0695" w:rsidP="00EE1D6B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</w:p>
          <w:p w:rsidR="005B0695" w:rsidRPr="005E2E57" w:rsidRDefault="005B0695" w:rsidP="005E3A93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To summarise, we think that the </w:t>
            </w:r>
            <w:r>
              <w:rPr>
                <w:rFonts w:eastAsia="Malgun Gothic"/>
                <w:bCs/>
                <w:lang w:eastAsia="ko-KR"/>
              </w:rPr>
              <w:t xml:space="preserve">definition of group A and B can be different </w:t>
            </w:r>
            <w:r>
              <w:rPr>
                <w:rFonts w:eastAsia="Malgun Gothic" w:hint="eastAsia"/>
                <w:bCs/>
                <w:lang w:eastAsia="ko-KR"/>
              </w:rPr>
              <w:t xml:space="preserve">as explained above </w:t>
            </w:r>
            <w:r w:rsidR="005E3A93">
              <w:rPr>
                <w:rFonts w:eastAsia="Malgun Gothic" w:hint="eastAsia"/>
                <w:bCs/>
                <w:lang w:eastAsia="ko-KR"/>
              </w:rPr>
              <w:t xml:space="preserve">according to </w:t>
            </w:r>
            <w:r>
              <w:rPr>
                <w:rFonts w:eastAsia="Malgun Gothic"/>
                <w:bCs/>
                <w:lang w:eastAsia="ko-KR"/>
              </w:rPr>
              <w:t>whether preamble range</w:t>
            </w:r>
            <w:r w:rsidR="005E3A93">
              <w:rPr>
                <w:rFonts w:eastAsia="Malgun Gothic" w:hint="eastAsia"/>
                <w:bCs/>
                <w:lang w:eastAsia="ko-KR"/>
              </w:rPr>
              <w:t xml:space="preserve"> </w:t>
            </w:r>
            <w:r>
              <w:rPr>
                <w:rFonts w:eastAsia="Malgun Gothic"/>
                <w:bCs/>
                <w:lang w:eastAsia="ko-KR"/>
              </w:rPr>
              <w:t xml:space="preserve">by </w:t>
            </w:r>
            <w:r w:rsidRPr="00C43CB2">
              <w:rPr>
                <w:i/>
              </w:rPr>
              <w:t>firstPreamble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7A580A">
              <w:rPr>
                <w:rFonts w:eastAsia="Malgun Gothic" w:hint="eastAsia"/>
                <w:lang w:eastAsia="ko-KR"/>
              </w:rPr>
              <w:t>and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C43CB2">
              <w:rPr>
                <w:i/>
              </w:rPr>
              <w:t>lastPreamble</w:t>
            </w:r>
            <w:r>
              <w:rPr>
                <w:rFonts w:eastAsia="Malgun Gothic" w:hint="eastAsia"/>
                <w:bCs/>
                <w:lang w:eastAsia="ko-KR"/>
              </w:rPr>
              <w:t xml:space="preserve"> exist or not. Therefore this should be captured into the MAC CR. </w:t>
            </w:r>
          </w:p>
        </w:tc>
      </w:tr>
      <w:tr w:rsidR="00D63E44" w:rsidRPr="000C0751" w:rsidTr="00D63E44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D63E44" w:rsidRDefault="00D63E44" w:rsidP="006A38A3">
            <w:pPr>
              <w:spacing w:after="0"/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</w:rPr>
              <w:lastRenderedPageBreak/>
              <w:t>ZTE</w:t>
            </w:r>
          </w:p>
        </w:tc>
        <w:tc>
          <w:tcPr>
            <w:tcW w:w="1250" w:type="dxa"/>
          </w:tcPr>
          <w:p w:rsidR="00D63E44" w:rsidRDefault="00D63E44" w:rsidP="005E2E57">
            <w:pPr>
              <w:spacing w:after="0"/>
              <w:ind w:left="202"/>
              <w:contextualSpacing/>
              <w:jc w:val="center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6468" w:type="dxa"/>
            <w:shd w:val="clear" w:color="auto" w:fill="auto"/>
          </w:tcPr>
          <w:p w:rsidR="00D63E44" w:rsidRDefault="00D63E44" w:rsidP="002E2573">
            <w:pPr>
              <w:spacing w:after="0"/>
              <w:contextualSpacing/>
              <w:jc w:val="left"/>
              <w:textAlignment w:val="auto"/>
            </w:pPr>
            <w:r>
              <w:rPr>
                <w:rFonts w:hint="eastAsia"/>
                <w:bCs/>
              </w:rPr>
              <w:t xml:space="preserve">Agree with LG that </w:t>
            </w:r>
            <w:r>
              <w:rPr>
                <w:bCs/>
              </w:rPr>
              <w:t>“</w:t>
            </w:r>
            <w:r w:rsidRPr="00177182">
              <w:rPr>
                <w:rFonts w:eastAsia="Malgun Gothic" w:hint="eastAsia"/>
                <w:bCs/>
                <w:i/>
                <w:lang w:eastAsia="ko-KR"/>
              </w:rPr>
              <w:t xml:space="preserve">Different CE level can have </w:t>
            </w:r>
            <w:r w:rsidRPr="00177182">
              <w:rPr>
                <w:rFonts w:eastAsia="Malgun Gothic"/>
                <w:bCs/>
                <w:i/>
                <w:lang w:eastAsia="ko-KR"/>
              </w:rPr>
              <w:t>different</w:t>
            </w:r>
            <w:r w:rsidRPr="00177182">
              <w:rPr>
                <w:rFonts w:eastAsia="Malgun Gothic" w:hint="eastAsia"/>
                <w:bCs/>
                <w:i/>
                <w:lang w:eastAsia="ko-KR"/>
              </w:rPr>
              <w:t xml:space="preserve"> preamble range and the only preambles within this range should be used for RA at each CE level. Thus preamble group A or B should be defined within this preamble range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  <w:r>
              <w:rPr>
                <w:bCs/>
              </w:rPr>
              <w:t>”</w:t>
            </w:r>
            <w:r>
              <w:rPr>
                <w:rFonts w:hint="eastAsia"/>
              </w:rPr>
              <w:t xml:space="preserve"> </w:t>
            </w: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rFonts w:hint="eastAsia"/>
              </w:rPr>
              <w:t xml:space="preserve">So we also agree that </w:t>
            </w:r>
            <w:r>
              <w:rPr>
                <w:rFonts w:hint="eastAsia"/>
                <w:bCs/>
              </w:rPr>
              <w:t>Alt</w:t>
            </w:r>
            <w:r>
              <w:rPr>
                <w:rFonts w:eastAsia="Malgun Gothic" w:hint="eastAsia"/>
                <w:bCs/>
                <w:lang w:eastAsia="ko-KR"/>
              </w:rPr>
              <w:t xml:space="preserve">1 is </w:t>
            </w:r>
            <w:r>
              <w:rPr>
                <w:rFonts w:hint="eastAsia"/>
                <w:bCs/>
              </w:rPr>
              <w:t xml:space="preserve">a </w:t>
            </w:r>
            <w:r>
              <w:rPr>
                <w:rFonts w:eastAsia="Malgun Gothic" w:hint="eastAsia"/>
                <w:bCs/>
                <w:lang w:eastAsia="ko-KR"/>
              </w:rPr>
              <w:t>suitable way to express the current specification</w:t>
            </w:r>
            <w:r>
              <w:rPr>
                <w:rFonts w:hint="eastAsia"/>
                <w:bCs/>
              </w:rPr>
              <w:t xml:space="preserve"> i</w:t>
            </w:r>
            <w:r>
              <w:rPr>
                <w:rFonts w:eastAsia="Malgun Gothic" w:hint="eastAsia"/>
                <w:bCs/>
                <w:lang w:eastAsia="ko-KR"/>
              </w:rPr>
              <w:t xml:space="preserve">f </w:t>
            </w:r>
            <w:r w:rsidRPr="00C43CB2">
              <w:rPr>
                <w:i/>
              </w:rPr>
              <w:t>firstPreamble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7A580A">
              <w:rPr>
                <w:rFonts w:eastAsia="Malgun Gothic" w:hint="eastAsia"/>
                <w:lang w:eastAsia="ko-KR"/>
              </w:rPr>
              <w:t>and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C43CB2">
              <w:rPr>
                <w:i/>
              </w:rPr>
              <w:t>lastPreamble</w:t>
            </w:r>
            <w:r>
              <w:rPr>
                <w:rFonts w:eastAsia="Malgun Gothic" w:hint="eastAsia"/>
                <w:bCs/>
                <w:lang w:eastAsia="ko-KR"/>
              </w:rPr>
              <w:t xml:space="preserve"> exist</w:t>
            </w:r>
            <w:r>
              <w:rPr>
                <w:rFonts w:hint="eastAsia"/>
                <w:bCs/>
              </w:rPr>
              <w:t>. However, we don</w:t>
            </w:r>
            <w:r>
              <w:rPr>
                <w:bCs/>
              </w:rPr>
              <w:t>’</w:t>
            </w:r>
            <w:r>
              <w:rPr>
                <w:rFonts w:hint="eastAsia"/>
                <w:bCs/>
              </w:rPr>
              <w:t xml:space="preserve">t agree the above configuration examples for Alt1. </w:t>
            </w: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 xml:space="preserve">We think the above configuration examples for both Alt1 (including those from Ericsson and LG) and Alt2 make it impossible to configure preamble-based CE level differentiation. CE level differentiation can only be based on time or </w:t>
            </w:r>
            <w:r>
              <w:rPr>
                <w:bCs/>
              </w:rPr>
              <w:t>frequency</w:t>
            </w:r>
            <w:r>
              <w:rPr>
                <w:rFonts w:hint="eastAsia"/>
                <w:bCs/>
              </w:rPr>
              <w:t xml:space="preserve"> resource. However, for time resource differentiation, the </w:t>
            </w:r>
            <w:r w:rsidRPr="00204D42">
              <w:rPr>
                <w:bCs/>
              </w:rPr>
              <w:t>delay issues</w:t>
            </w:r>
            <w:r>
              <w:rPr>
                <w:rFonts w:hint="eastAsia"/>
                <w:bCs/>
              </w:rPr>
              <w:t xml:space="preserve"> may exist</w:t>
            </w:r>
            <w:r w:rsidRPr="00204D42"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>in</w:t>
            </w:r>
            <w:r w:rsidRPr="00204D42">
              <w:rPr>
                <w:bCs/>
              </w:rPr>
              <w:t xml:space="preserve"> some CE levels</w:t>
            </w:r>
            <w:r>
              <w:rPr>
                <w:rFonts w:hint="eastAsia"/>
                <w:bCs/>
              </w:rPr>
              <w:t xml:space="preserve">. 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or</w:t>
            </w:r>
            <w:r>
              <w:rPr>
                <w:bCs/>
              </w:rPr>
              <w:t xml:space="preserve"> frequency</w:t>
            </w:r>
            <w:r>
              <w:rPr>
                <w:rFonts w:hint="eastAsia"/>
                <w:bCs/>
              </w:rPr>
              <w:t xml:space="preserve"> resource differentiation, the more </w:t>
            </w:r>
            <w:r>
              <w:rPr>
                <w:bCs/>
              </w:rPr>
              <w:t>frequency</w:t>
            </w:r>
            <w:r>
              <w:rPr>
                <w:rFonts w:hint="eastAsia"/>
                <w:bCs/>
              </w:rPr>
              <w:t xml:space="preserve"> resources are needed. We think preamble-based CE level differentiation still may be needed in some scenarios. </w:t>
            </w:r>
            <w:r w:rsidRPr="00495E28">
              <w:rPr>
                <w:bCs/>
              </w:rPr>
              <w:t>The specification should provide possibility for such configuration.</w:t>
            </w: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</w:pPr>
            <w:r>
              <w:rPr>
                <w:rFonts w:hint="eastAsia"/>
                <w:bCs/>
              </w:rPr>
              <w:t>A kind of t</w:t>
            </w:r>
            <w:r w:rsidRPr="00204D42">
              <w:rPr>
                <w:bCs/>
              </w:rPr>
              <w:t>horough</w:t>
            </w:r>
            <w:r>
              <w:rPr>
                <w:rFonts w:hint="eastAsia"/>
                <w:bCs/>
              </w:rPr>
              <w:t xml:space="preserve"> solution (Alt3) may be to directly configure </w:t>
            </w:r>
            <w:r>
              <w:rPr>
                <w:bCs/>
              </w:rPr>
              <w:t>preamble group A and B</w:t>
            </w:r>
            <w:r>
              <w:rPr>
                <w:rFonts w:hint="eastAsia"/>
                <w:bCs/>
              </w:rPr>
              <w:t xml:space="preserve"> within </w:t>
            </w:r>
            <w:r>
              <w:t>CE-level specific preamble ranges</w:t>
            </w:r>
            <w:r>
              <w:rPr>
                <w:rFonts w:hint="eastAsia"/>
              </w:rPr>
              <w:t>.</w:t>
            </w: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</w:pPr>
            <w:r>
              <w:rPr>
                <w:rFonts w:hint="eastAsia"/>
              </w:rPr>
              <w:t xml:space="preserve">If </w:t>
            </w:r>
            <w:r>
              <w:rPr>
                <w:bCs/>
              </w:rPr>
              <w:t>other companies</w:t>
            </w:r>
            <w:r>
              <w:rPr>
                <w:rFonts w:hint="eastAsia"/>
              </w:rPr>
              <w:t xml:space="preserve"> concern the ASN.1 impact for Alt3, </w:t>
            </w:r>
            <w:r>
              <w:rPr>
                <w:rFonts w:hint="eastAsia"/>
                <w:bCs/>
              </w:rPr>
              <w:t xml:space="preserve">we can agree the concept of Alt1 and suggest </w:t>
            </w:r>
            <w:r>
              <w:rPr>
                <w:rFonts w:hint="eastAsia"/>
              </w:rPr>
              <w:t>another</w:t>
            </w:r>
            <w:r>
              <w:t xml:space="preserve"> way to configure different CE levels together with group A and B</w:t>
            </w:r>
            <w:r>
              <w:rPr>
                <w:rFonts w:hint="eastAsia"/>
              </w:rPr>
              <w:t>.</w:t>
            </w: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</w:pPr>
            <w:r>
              <w:rPr>
                <w:rFonts w:hint="eastAsia"/>
              </w:rPr>
              <w:t xml:space="preserve"> </w:t>
            </w:r>
          </w:p>
          <w:p w:rsidR="00D63E44" w:rsidRPr="0036328E" w:rsidRDefault="00D63E44" w:rsidP="002E2573">
            <w:pPr>
              <w:spacing w:after="0"/>
              <w:contextualSpacing/>
              <w:jc w:val="left"/>
              <w:textAlignment w:val="auto"/>
            </w:pPr>
            <w:r>
              <w:rPr>
                <w:rFonts w:hint="eastAsia"/>
              </w:rPr>
              <w:t>We give two configuration examples</w:t>
            </w:r>
            <w:r>
              <w:t xml:space="preserve"> as in </w:t>
            </w:r>
            <w:r w:rsidR="001F1649">
              <w:fldChar w:fldCharType="begin"/>
            </w:r>
            <w:r>
              <w:instrText xml:space="preserve"> REF _Ref479852430 \h </w:instrText>
            </w:r>
            <w:r w:rsidR="001F1649">
              <w:fldChar w:fldCharType="separate"/>
            </w:r>
            <w:r w:rsidRPr="00CE0424">
              <w:t xml:space="preserve">Figure </w:t>
            </w:r>
            <w:r>
              <w:rPr>
                <w:rFonts w:hint="eastAsia"/>
                <w:noProof/>
              </w:rPr>
              <w:t>4</w:t>
            </w:r>
            <w:r w:rsidR="001F1649">
              <w:fldChar w:fldCharType="end"/>
            </w:r>
            <w:r>
              <w:rPr>
                <w:rFonts w:hint="eastAsia"/>
              </w:rPr>
              <w:t xml:space="preserve">-1 and </w:t>
            </w:r>
            <w:r w:rsidR="001F1649">
              <w:fldChar w:fldCharType="begin"/>
            </w:r>
            <w:r>
              <w:instrText xml:space="preserve"> REF _Ref479852430 \h </w:instrText>
            </w:r>
            <w:r w:rsidR="001F1649">
              <w:fldChar w:fldCharType="separate"/>
            </w:r>
            <w:r w:rsidRPr="00CE0424">
              <w:t xml:space="preserve">Figure </w:t>
            </w:r>
            <w:r>
              <w:rPr>
                <w:rFonts w:hint="eastAsia"/>
                <w:noProof/>
              </w:rPr>
              <w:t>4</w:t>
            </w:r>
            <w:r w:rsidR="001F1649">
              <w:fldChar w:fldCharType="end"/>
            </w:r>
            <w:r>
              <w:rPr>
                <w:rFonts w:hint="eastAsia"/>
              </w:rPr>
              <w:t>-2</w:t>
            </w:r>
            <w:r>
              <w:t xml:space="preserve"> below. Here </w:t>
            </w:r>
            <w:r w:rsidRPr="002F4F3B">
              <w:rPr>
                <w:i/>
                <w:noProof/>
              </w:rPr>
              <w:t>sizeOfRA-PreamblesGroupA</w:t>
            </w:r>
            <w:r w:rsidRPr="0045210B">
              <w:t xml:space="preserve"> </w:t>
            </w:r>
            <w:r w:rsidRPr="0045210B">
              <w:rPr>
                <w:rFonts w:hint="eastAsia"/>
              </w:rPr>
              <w:t xml:space="preserve">is </w:t>
            </w:r>
            <w:r w:rsidRPr="0045210B">
              <w:t xml:space="preserve">understood as the size of preamble </w:t>
            </w:r>
            <w:r>
              <w:rPr>
                <w:rFonts w:hint="eastAsia"/>
              </w:rPr>
              <w:t>g</w:t>
            </w:r>
            <w:r w:rsidRPr="0045210B">
              <w:t xml:space="preserve">roup A rather than the </w:t>
            </w:r>
            <w:r>
              <w:rPr>
                <w:rFonts w:hint="eastAsia"/>
              </w:rPr>
              <w:t>boundary</w:t>
            </w:r>
            <w:r w:rsidRPr="0045210B">
              <w:t xml:space="preserve"> between group A and group B</w:t>
            </w:r>
            <w:r>
              <w:rPr>
                <w:rFonts w:hint="eastAsia"/>
              </w:rPr>
              <w:t xml:space="preserve"> </w:t>
            </w:r>
            <w:r w:rsidRPr="0045210B">
              <w:t xml:space="preserve">(such understanding </w:t>
            </w:r>
            <w:r>
              <w:rPr>
                <w:rFonts w:hint="eastAsia"/>
              </w:rPr>
              <w:t xml:space="preserve">aligns with the definition for </w:t>
            </w:r>
            <w:r w:rsidRPr="002F4F3B">
              <w:rPr>
                <w:i/>
                <w:noProof/>
              </w:rPr>
              <w:t>sizeOfRA-PreamblesGroupA</w:t>
            </w:r>
            <w:r w:rsidRPr="0045210B">
              <w:rPr>
                <w:rFonts w:hint="eastAsia"/>
                <w:noProof/>
              </w:rPr>
              <w:t xml:space="preserve"> in 36.331</w:t>
            </w:r>
            <w:r w:rsidRPr="0045210B">
              <w:t>)</w:t>
            </w:r>
            <w:r>
              <w:rPr>
                <w:rFonts w:hint="eastAsia"/>
              </w:rPr>
              <w:t>.</w:t>
            </w:r>
          </w:p>
          <w:p w:rsidR="00D63E44" w:rsidRPr="000B4C52" w:rsidRDefault="00D63E44" w:rsidP="002E2573">
            <w:pPr>
              <w:jc w:val="center"/>
            </w:pPr>
            <w:r>
              <w:object w:dxaOrig="10279" w:dyaOrig="6424" w14:anchorId="45B1F837">
                <v:shape id="_x0000_i1027" type="#_x0000_t75" style="width:273pt;height:170.25pt" o:ole="">
                  <v:imagedata r:id="rId21" o:title=""/>
                </v:shape>
                <o:OLEObject Type="Embed" ProgID="Visio.Drawing.11" ShapeID="_x0000_i1027" DrawAspect="Content" ObjectID="_1555476552" r:id="rId22"/>
              </w:object>
            </w:r>
          </w:p>
          <w:p w:rsidR="00D63E44" w:rsidRPr="00890573" w:rsidRDefault="00D63E44" w:rsidP="002E2573">
            <w:pPr>
              <w:pStyle w:val="Caption"/>
              <w:rPr>
                <w:sz w:val="18"/>
                <w:szCs w:val="18"/>
              </w:rPr>
            </w:pPr>
            <w:r w:rsidRPr="00890573">
              <w:rPr>
                <w:sz w:val="18"/>
                <w:szCs w:val="18"/>
              </w:rPr>
              <w:t xml:space="preserve">Figure </w:t>
            </w:r>
            <w:r w:rsidRPr="00890573">
              <w:rPr>
                <w:rFonts w:hint="eastAsia"/>
                <w:sz w:val="18"/>
                <w:szCs w:val="18"/>
              </w:rPr>
              <w:t>4-1</w:t>
            </w:r>
            <w:r w:rsidRPr="00890573">
              <w:rPr>
                <w:sz w:val="18"/>
                <w:szCs w:val="18"/>
              </w:rPr>
              <w:t>: CE-level specific preamble ranges are used at the same time as preamble group A and B are configured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890573">
              <w:rPr>
                <w:rFonts w:hint="eastAsia"/>
                <w:sz w:val="18"/>
                <w:szCs w:val="18"/>
              </w:rPr>
              <w:t>(</w:t>
            </w:r>
            <w:r w:rsidRPr="00890573">
              <w:rPr>
                <w:sz w:val="18"/>
                <w:szCs w:val="18"/>
              </w:rPr>
              <w:t>with preamble ranges overlapping between CE levels</w:t>
            </w:r>
            <w:r w:rsidRPr="00890573">
              <w:rPr>
                <w:rFonts w:hint="eastAsia"/>
                <w:sz w:val="18"/>
                <w:szCs w:val="18"/>
              </w:rPr>
              <w:t>)</w:t>
            </w:r>
            <w:r w:rsidRPr="00890573">
              <w:rPr>
                <w:sz w:val="18"/>
                <w:szCs w:val="18"/>
              </w:rPr>
              <w:t>.</w:t>
            </w:r>
          </w:p>
          <w:p w:rsidR="00D63E44" w:rsidRPr="00440424" w:rsidRDefault="00D63E44" w:rsidP="002E2573">
            <w:pPr>
              <w:jc w:val="center"/>
            </w:pPr>
            <w:r>
              <w:object w:dxaOrig="10279" w:dyaOrig="6424" w14:anchorId="1156F0DF">
                <v:shape id="_x0000_i1028" type="#_x0000_t75" style="width:275.25pt;height:172.5pt" o:ole="">
                  <v:imagedata r:id="rId23" o:title=""/>
                </v:shape>
                <o:OLEObject Type="Embed" ProgID="Visio.Drawing.11" ShapeID="_x0000_i1028" DrawAspect="Content" ObjectID="_1555476553" r:id="rId24"/>
              </w:object>
            </w:r>
          </w:p>
          <w:p w:rsidR="00D63E44" w:rsidRPr="00890573" w:rsidRDefault="00D63E44" w:rsidP="002E2573">
            <w:pPr>
              <w:pStyle w:val="Caption"/>
              <w:rPr>
                <w:sz w:val="18"/>
                <w:szCs w:val="18"/>
              </w:rPr>
            </w:pPr>
            <w:r w:rsidRPr="00890573">
              <w:rPr>
                <w:sz w:val="18"/>
                <w:szCs w:val="18"/>
              </w:rPr>
              <w:t xml:space="preserve">Figure </w:t>
            </w:r>
            <w:r w:rsidRPr="00890573">
              <w:rPr>
                <w:rFonts w:hint="eastAsia"/>
                <w:sz w:val="18"/>
                <w:szCs w:val="18"/>
              </w:rPr>
              <w:t>4-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890573">
              <w:rPr>
                <w:sz w:val="18"/>
                <w:szCs w:val="18"/>
              </w:rPr>
              <w:t>: CE-level specific preamble ranges are used at the same time as preamble group A and B are configured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890573">
              <w:rPr>
                <w:rFonts w:hint="eastAsia"/>
                <w:sz w:val="18"/>
                <w:szCs w:val="18"/>
              </w:rPr>
              <w:t>(</w:t>
            </w:r>
            <w:r w:rsidRPr="00890573">
              <w:rPr>
                <w:sz w:val="18"/>
                <w:szCs w:val="18"/>
              </w:rPr>
              <w:t>with</w:t>
            </w:r>
            <w:r w:rsidRPr="00890573">
              <w:rPr>
                <w:rFonts w:hint="eastAsia"/>
                <w:sz w:val="18"/>
                <w:szCs w:val="18"/>
              </w:rPr>
              <w:t>out</w:t>
            </w:r>
            <w:r w:rsidRPr="00890573">
              <w:rPr>
                <w:sz w:val="18"/>
                <w:szCs w:val="18"/>
              </w:rPr>
              <w:t xml:space="preserve"> preamble ranges overlapping between CE levels</w:t>
            </w:r>
            <w:r w:rsidRPr="00890573">
              <w:rPr>
                <w:rFonts w:hint="eastAsia"/>
                <w:sz w:val="18"/>
                <w:szCs w:val="18"/>
              </w:rPr>
              <w:t>)</w:t>
            </w:r>
            <w:r w:rsidRPr="00890573">
              <w:rPr>
                <w:sz w:val="18"/>
                <w:szCs w:val="18"/>
              </w:rPr>
              <w:t>.</w:t>
            </w: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</w:pPr>
            <w:r>
              <w:rPr>
                <w:rFonts w:hint="eastAsia"/>
              </w:rPr>
              <w:t xml:space="preserve">In such type of configuration, </w:t>
            </w:r>
            <w:r>
              <w:t>the UE should take the intersection between the CE-level specific preamble range and preamble group A or B before selecting the preamble.</w:t>
            </w:r>
            <w:r>
              <w:rPr>
                <w:rFonts w:hint="eastAsia"/>
              </w:rPr>
              <w:t xml:space="preserve"> However, there has no such restriction that </w:t>
            </w:r>
            <w:r>
              <w:t>the split of the preambles in Group A/B is common for all PRACH resources</w:t>
            </w:r>
            <w:r>
              <w:rPr>
                <w:rFonts w:hint="eastAsia"/>
              </w:rPr>
              <w:t xml:space="preserve">. Only the size of </w:t>
            </w:r>
            <w:r w:rsidRPr="0045210B">
              <w:t xml:space="preserve">group A </w:t>
            </w:r>
            <w:r>
              <w:rPr>
                <w:rFonts w:hint="eastAsia"/>
              </w:rPr>
              <w:t>is c</w:t>
            </w:r>
            <w:r>
              <w:t>ommon for all PRACH resources.</w:t>
            </w: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</w:pP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 xml:space="preserve">The remaining issue is how to configure dedicated preambles. There has no explicit definition for dedicated preambles for each CE level in eMTC. </w:t>
            </w:r>
            <w:r>
              <w:rPr>
                <w:bCs/>
              </w:rPr>
              <w:t>S</w:t>
            </w:r>
            <w:r>
              <w:rPr>
                <w:rFonts w:hint="eastAsia"/>
                <w:bCs/>
              </w:rPr>
              <w:t xml:space="preserve">ince </w:t>
            </w:r>
            <w:r w:rsidRPr="006F64A2">
              <w:rPr>
                <w:rFonts w:hint="eastAsia"/>
                <w:bCs/>
                <w:i/>
              </w:rPr>
              <w:t>first</w:t>
            </w:r>
            <w:r w:rsidRPr="006F64A2">
              <w:rPr>
                <w:i/>
                <w:noProof/>
              </w:rPr>
              <w:t>P</w:t>
            </w:r>
            <w:r w:rsidRPr="00DD0360">
              <w:rPr>
                <w:i/>
                <w:noProof/>
              </w:rPr>
              <w:t>reamble</w:t>
            </w:r>
            <w:r>
              <w:rPr>
                <w:rFonts w:hint="eastAsia"/>
                <w:bCs/>
              </w:rPr>
              <w:t xml:space="preserve"> and </w:t>
            </w:r>
            <w:r w:rsidRPr="00DD0360">
              <w:rPr>
                <w:i/>
                <w:noProof/>
              </w:rPr>
              <w:t>lastPreamble</w:t>
            </w:r>
            <w:r>
              <w:rPr>
                <w:rFonts w:hint="eastAsia"/>
                <w:bCs/>
              </w:rPr>
              <w:t xml:space="preserve"> can be flexibly configured, p</w:t>
            </w:r>
            <w:r w:rsidRPr="00EE2FEE">
              <w:rPr>
                <w:bCs/>
              </w:rPr>
              <w:t>otentially</w:t>
            </w:r>
            <w:r>
              <w:rPr>
                <w:rFonts w:hint="eastAsia"/>
                <w:bCs/>
              </w:rPr>
              <w:t>,</w:t>
            </w:r>
            <w:r w:rsidRPr="00EE2FEE"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all </w:t>
            </w:r>
            <w:r w:rsidRPr="006F64A2">
              <w:rPr>
                <w:bCs/>
              </w:rPr>
              <w:t>the preamble</w:t>
            </w:r>
            <w:r>
              <w:rPr>
                <w:rFonts w:hint="eastAsia"/>
                <w:bCs/>
              </w:rPr>
              <w:t>s</w:t>
            </w:r>
            <w:r w:rsidRPr="006F64A2">
              <w:rPr>
                <w:bCs/>
              </w:rPr>
              <w:t xml:space="preserve"> outside the range from</w:t>
            </w:r>
            <w:r>
              <w:rPr>
                <w:rFonts w:hint="eastAsia"/>
                <w:bCs/>
              </w:rPr>
              <w:t xml:space="preserve"> </w:t>
            </w:r>
            <w:r w:rsidRPr="006F64A2">
              <w:rPr>
                <w:rFonts w:hint="eastAsia"/>
                <w:bCs/>
                <w:i/>
              </w:rPr>
              <w:lastRenderedPageBreak/>
              <w:t>first</w:t>
            </w:r>
            <w:r w:rsidRPr="006F64A2">
              <w:rPr>
                <w:i/>
                <w:noProof/>
              </w:rPr>
              <w:t>P</w:t>
            </w:r>
            <w:r w:rsidRPr="00DD0360">
              <w:rPr>
                <w:i/>
                <w:noProof/>
              </w:rPr>
              <w:t>reamble</w:t>
            </w:r>
            <w:r>
              <w:rPr>
                <w:rFonts w:hint="eastAsia"/>
                <w:bCs/>
              </w:rPr>
              <w:t xml:space="preserve"> to </w:t>
            </w:r>
            <w:r w:rsidRPr="00DD0360">
              <w:rPr>
                <w:i/>
                <w:noProof/>
              </w:rPr>
              <w:t>l</w:t>
            </w:r>
            <w:r w:rsidRPr="00EE2FEE">
              <w:rPr>
                <w:i/>
                <w:noProof/>
              </w:rPr>
              <w:t>astPreamble</w:t>
            </w:r>
            <w:r w:rsidRPr="006F64A2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can</w:t>
            </w:r>
            <w:r w:rsidRPr="006F64A2">
              <w:rPr>
                <w:rFonts w:hint="eastAsia"/>
                <w:noProof/>
              </w:rPr>
              <w:t xml:space="preserve"> be used as </w:t>
            </w:r>
            <w:r>
              <w:rPr>
                <w:rFonts w:hint="eastAsia"/>
                <w:bCs/>
              </w:rPr>
              <w:t>dedicated preambles. However, we don</w:t>
            </w:r>
            <w:r>
              <w:rPr>
                <w:bCs/>
              </w:rPr>
              <w:t>’</w:t>
            </w:r>
            <w:r>
              <w:rPr>
                <w:rFonts w:hint="eastAsia"/>
                <w:bCs/>
              </w:rPr>
              <w:t>t prefer such understanding since it brings c</w:t>
            </w:r>
            <w:r w:rsidRPr="00EE2FEE">
              <w:rPr>
                <w:bCs/>
              </w:rPr>
              <w:t>omplexity</w:t>
            </w:r>
            <w:r>
              <w:rPr>
                <w:rFonts w:hint="eastAsia"/>
                <w:bCs/>
              </w:rPr>
              <w:t xml:space="preserve"> to non-contention based PRACH.</w:t>
            </w:r>
          </w:p>
          <w:p w:rsidR="00D63E44" w:rsidRPr="006F64A2" w:rsidRDefault="00D63E44" w:rsidP="002E2573">
            <w:pPr>
              <w:spacing w:after="0"/>
              <w:contextualSpacing/>
              <w:jc w:val="left"/>
              <w:textAlignment w:val="auto"/>
              <w:rPr>
                <w:noProof/>
              </w:rPr>
            </w:pP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So we also agree such understanding that</w:t>
            </w:r>
            <w:r>
              <w:t xml:space="preserve"> the dedicated preambles (right end) should be same for all PRACH resources</w:t>
            </w:r>
            <w:r>
              <w:rPr>
                <w:rFonts w:hint="eastAsia"/>
                <w:bCs/>
              </w:rPr>
              <w:t xml:space="preserve">. And we assume that a reasonable </w:t>
            </w:r>
            <w:r>
              <w:rPr>
                <w:bCs/>
              </w:rPr>
              <w:t>explanation</w:t>
            </w:r>
            <w:r>
              <w:rPr>
                <w:rFonts w:hint="eastAsia"/>
                <w:bCs/>
              </w:rPr>
              <w:t xml:space="preserve"> should be that the set of dedicated preambles is from </w:t>
            </w:r>
            <w:r w:rsidRPr="009433AC">
              <w:rPr>
                <w:i/>
                <w:noProof/>
              </w:rPr>
              <w:t>numberOfRA-Preambles</w:t>
            </w:r>
            <w:r>
              <w:rPr>
                <w:rFonts w:hint="eastAsia"/>
                <w:i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to 63 (like that in legacy LTE), even when the </w:t>
            </w:r>
            <w:r w:rsidRPr="00DD0360">
              <w:rPr>
                <w:i/>
                <w:noProof/>
              </w:rPr>
              <w:t>firstPreamble</w:t>
            </w:r>
            <w:r w:rsidRPr="000A15C5">
              <w:rPr>
                <w:noProof/>
              </w:rPr>
              <w:t xml:space="preserve"> and</w:t>
            </w:r>
            <w:r w:rsidRPr="00DD0360">
              <w:rPr>
                <w:i/>
                <w:noProof/>
              </w:rPr>
              <w:t xml:space="preserve"> lastPreamble</w:t>
            </w:r>
            <w:r>
              <w:rPr>
                <w:rFonts w:hint="eastAsia"/>
                <w:noProof/>
                <w:lang w:eastAsia="ko-KR"/>
              </w:rPr>
              <w:t xml:space="preserve"> are </w:t>
            </w:r>
            <w:r>
              <w:rPr>
                <w:noProof/>
                <w:lang w:eastAsia="ko-KR"/>
              </w:rPr>
              <w:t>configured</w:t>
            </w:r>
            <w:r>
              <w:rPr>
                <w:rFonts w:hint="eastAsia"/>
                <w:bCs/>
              </w:rPr>
              <w:t>.</w:t>
            </w:r>
          </w:p>
          <w:p w:rsidR="00D63E44" w:rsidRDefault="00D63E44" w:rsidP="002E2573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</w:p>
          <w:p w:rsidR="00D63E44" w:rsidRDefault="00D63E44" w:rsidP="005E2E57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hint="eastAsia"/>
                <w:bCs/>
              </w:rPr>
              <w:t xml:space="preserve">Moreover, we suggest to add a note in order that </w:t>
            </w:r>
            <w:r>
              <w:t>the dedicated preambles</w:t>
            </w:r>
            <w:r>
              <w:rPr>
                <w:rFonts w:hint="eastAsia"/>
              </w:rPr>
              <w:t xml:space="preserve"> can</w:t>
            </w:r>
            <w:r>
              <w:t xml:space="preserve"> be same for all PRACH resources</w:t>
            </w:r>
            <w:r>
              <w:rPr>
                <w:rFonts w:hint="eastAsia"/>
                <w:noProof/>
              </w:rPr>
              <w:t xml:space="preserve"> when the </w:t>
            </w:r>
            <w:r w:rsidRPr="00DD0360">
              <w:rPr>
                <w:i/>
                <w:noProof/>
              </w:rPr>
              <w:t>firstPreamble</w:t>
            </w:r>
            <w:r w:rsidRPr="000A15C5">
              <w:rPr>
                <w:noProof/>
              </w:rPr>
              <w:t xml:space="preserve"> and</w:t>
            </w:r>
            <w:r w:rsidRPr="00DD0360">
              <w:rPr>
                <w:i/>
                <w:noProof/>
              </w:rPr>
              <w:t xml:space="preserve"> lastPreamble</w:t>
            </w:r>
            <w:r>
              <w:rPr>
                <w:rFonts w:hint="eastAsia"/>
                <w:noProof/>
                <w:lang w:eastAsia="ko-KR"/>
              </w:rPr>
              <w:t xml:space="preserve"> are </w:t>
            </w:r>
            <w:r>
              <w:rPr>
                <w:noProof/>
                <w:lang w:eastAsia="ko-KR"/>
              </w:rPr>
              <w:t>configured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774AD" w:rsidRPr="000C0751" w:rsidTr="00D63E44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1774AD" w:rsidRDefault="001774AD" w:rsidP="006A38A3">
            <w:pPr>
              <w:spacing w:after="0"/>
              <w:rPr>
                <w:b/>
                <w:bCs/>
              </w:rPr>
            </w:pPr>
            <w:r>
              <w:rPr>
                <w:rFonts w:eastAsia="MS Mincho" w:hint="eastAsia"/>
                <w:b/>
                <w:bCs/>
                <w:lang w:eastAsia="ja-JP"/>
              </w:rPr>
              <w:lastRenderedPageBreak/>
              <w:t>NTT DOCOMO</w:t>
            </w:r>
          </w:p>
        </w:tc>
        <w:tc>
          <w:tcPr>
            <w:tcW w:w="1250" w:type="dxa"/>
          </w:tcPr>
          <w:p w:rsidR="001774AD" w:rsidRDefault="001774AD" w:rsidP="005E2E57">
            <w:pPr>
              <w:spacing w:after="0"/>
              <w:ind w:left="202"/>
              <w:contextualSpacing/>
              <w:jc w:val="center"/>
              <w:textAlignment w:val="auto"/>
              <w:rPr>
                <w:bCs/>
              </w:rPr>
            </w:pPr>
            <w:r>
              <w:rPr>
                <w:rFonts w:eastAsia="MS Mincho" w:hint="eastAsia"/>
                <w:bCs/>
                <w:lang w:eastAsia="ja-JP"/>
              </w:rPr>
              <w:t>2(?)</w:t>
            </w:r>
          </w:p>
        </w:tc>
        <w:tc>
          <w:tcPr>
            <w:tcW w:w="6468" w:type="dxa"/>
            <w:shd w:val="clear" w:color="auto" w:fill="auto"/>
          </w:tcPr>
          <w:p w:rsidR="001774AD" w:rsidRDefault="001774AD" w:rsidP="00540302">
            <w:pPr>
              <w:spacing w:after="0"/>
              <w:contextualSpacing/>
              <w:jc w:val="left"/>
              <w:textAlignment w:val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 xml:space="preserve">We think </w:t>
            </w:r>
            <w:r>
              <w:rPr>
                <w:rFonts w:eastAsia="MS Mincho"/>
                <w:bCs/>
                <w:lang w:eastAsia="ja-JP"/>
              </w:rPr>
              <w:t>that</w:t>
            </w:r>
            <w:r>
              <w:rPr>
                <w:rFonts w:eastAsia="MS Mincho" w:hint="eastAsia"/>
                <w:bCs/>
                <w:lang w:eastAsia="ja-JP"/>
              </w:rPr>
              <w:t xml:space="preserve"> the decription of alternatives are not clear since </w:t>
            </w:r>
            <w:r w:rsidRPr="00C43CB2">
              <w:rPr>
                <w:i/>
              </w:rPr>
              <w:t>firstPreamble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7A580A">
              <w:rPr>
                <w:rFonts w:eastAsia="Malgun Gothic" w:hint="eastAsia"/>
                <w:lang w:eastAsia="ko-KR"/>
              </w:rPr>
              <w:t>and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C43CB2">
              <w:rPr>
                <w:i/>
              </w:rPr>
              <w:t>lastPreamble</w:t>
            </w:r>
            <w:r>
              <w:rPr>
                <w:rFonts w:eastAsia="MS Mincho" w:hint="eastAsia"/>
                <w:bCs/>
                <w:lang w:eastAsia="ja-JP"/>
              </w:rPr>
              <w:t xml:space="preserve"> need to be signalled anyway. We understand the problem is </w:t>
            </w:r>
            <w:r>
              <w:rPr>
                <w:rFonts w:eastAsia="MS Mincho"/>
                <w:bCs/>
                <w:lang w:eastAsia="ja-JP"/>
              </w:rPr>
              <w:t>that</w:t>
            </w:r>
            <w:r>
              <w:rPr>
                <w:rFonts w:eastAsia="MS Mincho" w:hint="eastAsia"/>
                <w:bCs/>
                <w:lang w:eastAsia="ja-JP"/>
              </w:rPr>
              <w:t xml:space="preserve"> the current MAC does not capture Figure.2 correctly and then the discussion point is whether Figure.2 needs to be allowed or not. So, we assume the Alternatives are</w:t>
            </w:r>
          </w:p>
          <w:p w:rsidR="001774AD" w:rsidRDefault="001774AD" w:rsidP="00540302">
            <w:pPr>
              <w:spacing w:after="0"/>
              <w:contextualSpacing/>
              <w:jc w:val="left"/>
              <w:textAlignment w:val="auto"/>
              <w:rPr>
                <w:rFonts w:eastAsia="MS Mincho"/>
                <w:bCs/>
                <w:lang w:eastAsia="ja-JP"/>
              </w:rPr>
            </w:pPr>
          </w:p>
          <w:p w:rsidR="001774AD" w:rsidRDefault="001774AD" w:rsidP="00540302">
            <w:pPr>
              <w:spacing w:after="0"/>
              <w:contextualSpacing/>
              <w:jc w:val="left"/>
              <w:textAlignment w:val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Alt1) Figure2 is allowed</w:t>
            </w:r>
          </w:p>
          <w:p w:rsidR="001774AD" w:rsidRDefault="001774AD" w:rsidP="00540302">
            <w:pPr>
              <w:spacing w:after="0"/>
              <w:contextualSpacing/>
              <w:jc w:val="left"/>
              <w:textAlignment w:val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Alt2) Figure2 is not allowed</w:t>
            </w:r>
          </w:p>
          <w:p w:rsidR="001774AD" w:rsidRDefault="001774AD" w:rsidP="00540302">
            <w:pPr>
              <w:spacing w:after="0"/>
              <w:contextualSpacing/>
              <w:jc w:val="left"/>
              <w:textAlignment w:val="auto"/>
              <w:rPr>
                <w:rFonts w:eastAsia="MS Mincho"/>
                <w:bCs/>
                <w:lang w:eastAsia="ja-JP"/>
              </w:rPr>
            </w:pPr>
          </w:p>
          <w:p w:rsidR="001774AD" w:rsidRPr="00357436" w:rsidRDefault="001774AD" w:rsidP="002E2573">
            <w:pPr>
              <w:spacing w:after="0"/>
              <w:contextualSpacing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From our point of view, A</w:t>
            </w:r>
            <w:r>
              <w:rPr>
                <w:rFonts w:eastAsia="MS Mincho"/>
                <w:bCs/>
                <w:lang w:eastAsia="ja-JP"/>
              </w:rPr>
              <w:t>l</w:t>
            </w:r>
            <w:r>
              <w:rPr>
                <w:rFonts w:eastAsia="MS Mincho" w:hint="eastAsia"/>
                <w:bCs/>
                <w:lang w:eastAsia="ja-JP"/>
              </w:rPr>
              <w:t xml:space="preserve">t2 is fine since Figure3 is a typical configuration of </w:t>
            </w:r>
            <w:r w:rsidRPr="00C43CB2">
              <w:rPr>
                <w:i/>
              </w:rPr>
              <w:t>firstPreamble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7A580A">
              <w:rPr>
                <w:rFonts w:eastAsia="Malgun Gothic" w:hint="eastAsia"/>
                <w:lang w:eastAsia="ko-KR"/>
              </w:rPr>
              <w:t>and</w:t>
            </w:r>
            <w:r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C43CB2">
              <w:rPr>
                <w:i/>
              </w:rPr>
              <w:t>lastPreamble</w:t>
            </w:r>
            <w:r>
              <w:rPr>
                <w:rFonts w:eastAsia="MS Mincho" w:hint="eastAsia"/>
                <w:i/>
                <w:lang w:eastAsia="ja-JP"/>
              </w:rPr>
              <w:t xml:space="preserve"> </w:t>
            </w:r>
            <w:r w:rsidR="00A24857">
              <w:rPr>
                <w:rFonts w:eastAsia="MS Mincho" w:hint="eastAsia"/>
                <w:lang w:eastAsia="ja-JP"/>
              </w:rPr>
              <w:t>when Group A and B are</w:t>
            </w:r>
            <w:r>
              <w:rPr>
                <w:rFonts w:eastAsia="MS Mincho" w:hint="eastAsia"/>
                <w:lang w:eastAsia="ja-JP"/>
              </w:rPr>
              <w:t xml:space="preserve"> also used. It should be noted </w:t>
            </w:r>
            <w:r>
              <w:rPr>
                <w:rFonts w:eastAsia="MS Mincho"/>
                <w:lang w:eastAsia="ja-JP"/>
              </w:rPr>
              <w:t>that</w:t>
            </w:r>
            <w:r>
              <w:rPr>
                <w:rFonts w:eastAsia="MS Mincho" w:hint="eastAsia"/>
                <w:lang w:eastAsia="ja-JP"/>
              </w:rPr>
              <w:t xml:space="preserve"> as pointed out by LGE, the </w:t>
            </w:r>
            <w:r w:rsidR="0017153B">
              <w:rPr>
                <w:rFonts w:eastAsia="MS Mincho" w:hint="eastAsia"/>
                <w:lang w:eastAsia="ja-JP"/>
              </w:rPr>
              <w:t>inten</w:t>
            </w:r>
            <w:r>
              <w:rPr>
                <w:rFonts w:eastAsia="MS Mincho" w:hint="eastAsia"/>
                <w:lang w:eastAsia="ja-JP"/>
              </w:rPr>
              <w:t xml:space="preserve">sion of NOTE which the </w:t>
            </w:r>
            <w:r>
              <w:rPr>
                <w:rFonts w:eastAsia="MS Mincho"/>
                <w:lang w:eastAsia="ja-JP"/>
              </w:rPr>
              <w:t>rapporteur</w:t>
            </w:r>
            <w:r>
              <w:rPr>
                <w:rFonts w:eastAsia="MS Mincho" w:hint="eastAsia"/>
                <w:lang w:eastAsia="ja-JP"/>
              </w:rPr>
              <w:t xml:space="preserve"> referred was just avoid figure4 and </w:t>
            </w:r>
            <w:r>
              <w:rPr>
                <w:rFonts w:eastAsia="MS Mincho"/>
                <w:lang w:eastAsia="ja-JP"/>
              </w:rPr>
              <w:t>nothing</w:t>
            </w:r>
            <w:r>
              <w:rPr>
                <w:rFonts w:eastAsia="MS Mincho" w:hint="eastAsia"/>
                <w:lang w:eastAsia="ja-JP"/>
              </w:rPr>
              <w:t xml:space="preserve"> about Figure 2 or 3. </w:t>
            </w:r>
          </w:p>
        </w:tc>
      </w:tr>
      <w:tr w:rsidR="00087112" w:rsidRPr="000C0751" w:rsidTr="00D63E44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087112" w:rsidRDefault="00087112" w:rsidP="006A38A3">
            <w:pPr>
              <w:spacing w:after="0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Intel</w:t>
            </w:r>
          </w:p>
        </w:tc>
        <w:tc>
          <w:tcPr>
            <w:tcW w:w="1250" w:type="dxa"/>
          </w:tcPr>
          <w:p w:rsidR="00087112" w:rsidRDefault="00087112" w:rsidP="005E2E57">
            <w:pPr>
              <w:spacing w:after="0"/>
              <w:ind w:left="202"/>
              <w:contextualSpacing/>
              <w:jc w:val="center"/>
              <w:textAlignment w:val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2</w:t>
            </w:r>
          </w:p>
        </w:tc>
        <w:tc>
          <w:tcPr>
            <w:tcW w:w="6468" w:type="dxa"/>
            <w:shd w:val="clear" w:color="auto" w:fill="auto"/>
          </w:tcPr>
          <w:p w:rsidR="00087112" w:rsidRDefault="00087112" w:rsidP="00087112">
            <w:pPr>
              <w:spacing w:after="0"/>
              <w:contextualSpacing/>
              <w:jc w:val="left"/>
              <w:textAlignment w:val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We share the views explained by Ericsson and DOCOMO.</w:t>
            </w:r>
          </w:p>
          <w:p w:rsidR="00087112" w:rsidRDefault="00087112" w:rsidP="00087112">
            <w:pPr>
              <w:spacing w:after="0"/>
              <w:contextualSpacing/>
              <w:jc w:val="left"/>
              <w:textAlignment w:val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 xml:space="preserve">In addition, we have sympathy for ZTE's point of adding a note to </w:t>
            </w:r>
            <w:r w:rsidRPr="00A92B0E">
              <w:rPr>
                <w:rFonts w:eastAsia="MS Mincho"/>
                <w:bCs/>
                <w:lang w:eastAsia="ja-JP"/>
              </w:rPr>
              <w:t>prevent ambiguity of dedicated preamble</w:t>
            </w:r>
            <w:r>
              <w:rPr>
                <w:rFonts w:eastAsia="MS Mincho"/>
                <w:bCs/>
                <w:lang w:eastAsia="ja-JP"/>
              </w:rPr>
              <w:t>s for (non-contention based RA). Therefore we suggest adding the</w:t>
            </w:r>
            <w:r w:rsidRPr="00A92B0E">
              <w:rPr>
                <w:rFonts w:eastAsia="MS Mincho"/>
                <w:bCs/>
                <w:lang w:eastAsia="ja-JP"/>
              </w:rPr>
              <w:t xml:space="preserve"> </w:t>
            </w:r>
            <w:r>
              <w:rPr>
                <w:rFonts w:eastAsia="MS Mincho"/>
                <w:bCs/>
                <w:lang w:eastAsia="ja-JP"/>
              </w:rPr>
              <w:t xml:space="preserve">following </w:t>
            </w:r>
            <w:r w:rsidRPr="00A92B0E">
              <w:rPr>
                <w:rFonts w:eastAsia="MS Mincho"/>
                <w:bCs/>
                <w:lang w:eastAsia="ja-JP"/>
              </w:rPr>
              <w:t xml:space="preserve">note in </w:t>
            </w:r>
            <w:r>
              <w:rPr>
                <w:rFonts w:eastAsia="MS Mincho"/>
                <w:bCs/>
                <w:lang w:eastAsia="ja-JP"/>
              </w:rPr>
              <w:t>alternative</w:t>
            </w:r>
            <w:r w:rsidRPr="00A92B0E">
              <w:rPr>
                <w:rFonts w:eastAsia="MS Mincho"/>
                <w:bCs/>
                <w:lang w:eastAsia="ja-JP"/>
              </w:rPr>
              <w:t xml:space="preserve"> 2</w:t>
            </w:r>
            <w:r>
              <w:rPr>
                <w:rFonts w:eastAsia="MS Mincho"/>
                <w:bCs/>
                <w:lang w:eastAsia="ja-JP"/>
              </w:rPr>
              <w:t>.</w:t>
            </w:r>
          </w:p>
          <w:p w:rsidR="00087112" w:rsidRDefault="00087112" w:rsidP="00540302">
            <w:pPr>
              <w:spacing w:after="0"/>
              <w:contextualSpacing/>
              <w:jc w:val="left"/>
              <w:textAlignment w:val="auto"/>
              <w:rPr>
                <w:rFonts w:eastAsia="MS Mincho"/>
                <w:bCs/>
                <w:lang w:eastAsia="ja-JP"/>
              </w:rPr>
            </w:pPr>
          </w:p>
        </w:tc>
      </w:tr>
      <w:tr w:rsidR="007E694C" w:rsidRPr="000C0751" w:rsidTr="00D63E44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7E694C" w:rsidRDefault="007E694C" w:rsidP="006A38A3">
            <w:pPr>
              <w:spacing w:after="0"/>
              <w:rPr>
                <w:rFonts w:eastAsia="MS Mincho"/>
                <w:b/>
                <w:bCs/>
                <w:lang w:eastAsia="ja-JP"/>
              </w:rPr>
            </w:pPr>
            <w:r w:rsidRPr="004277E6">
              <w:rPr>
                <w:rFonts w:hint="eastAsia"/>
                <w:b/>
                <w:bCs/>
              </w:rPr>
              <w:t>Huawei</w:t>
            </w:r>
            <w:r>
              <w:rPr>
                <w:rFonts w:hint="eastAsia"/>
                <w:b/>
                <w:bCs/>
              </w:rPr>
              <w:t>, HiSilicon</w:t>
            </w:r>
          </w:p>
        </w:tc>
        <w:tc>
          <w:tcPr>
            <w:tcW w:w="1250" w:type="dxa"/>
          </w:tcPr>
          <w:p w:rsidR="007E694C" w:rsidRDefault="007E694C" w:rsidP="005E2E57">
            <w:pPr>
              <w:spacing w:after="0"/>
              <w:ind w:left="202"/>
              <w:contextualSpacing/>
              <w:jc w:val="center"/>
              <w:textAlignment w:val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2</w:t>
            </w:r>
          </w:p>
        </w:tc>
        <w:tc>
          <w:tcPr>
            <w:tcW w:w="6468" w:type="dxa"/>
            <w:shd w:val="clear" w:color="auto" w:fill="auto"/>
          </w:tcPr>
          <w:p w:rsidR="007E694C" w:rsidRPr="007E694C" w:rsidRDefault="007E694C" w:rsidP="00087112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 w:rsidRPr="004277E6">
              <w:rPr>
                <w:rFonts w:hint="eastAsia"/>
                <w:bCs/>
              </w:rPr>
              <w:t xml:space="preserve">We agree with </w:t>
            </w:r>
            <w:r w:rsidRPr="004277E6">
              <w:rPr>
                <w:bCs/>
              </w:rPr>
              <w:t xml:space="preserve">Ericsson considering the simplicity. When group A and group B are configured, the UE selects a preamble from group A or B regardless of the parameters </w:t>
            </w:r>
            <w:r w:rsidRPr="004277E6">
              <w:rPr>
                <w:bCs/>
                <w:i/>
              </w:rPr>
              <w:t xml:space="preserve">firstPreamble </w:t>
            </w:r>
            <w:r w:rsidRPr="004277E6">
              <w:rPr>
                <w:bCs/>
              </w:rPr>
              <w:t xml:space="preserve">and </w:t>
            </w:r>
            <w:r w:rsidRPr="004277E6">
              <w:rPr>
                <w:bCs/>
                <w:i/>
              </w:rPr>
              <w:t>lastPreamble</w:t>
            </w:r>
            <w:r>
              <w:rPr>
                <w:rFonts w:hint="eastAsia"/>
                <w:bCs/>
              </w:rPr>
              <w:t xml:space="preserve"> defined for each CE-level</w:t>
            </w:r>
            <w:r w:rsidRPr="004277E6">
              <w:rPr>
                <w:bCs/>
              </w:rPr>
              <w:t xml:space="preserve">. When group B is not configured, CE-level specific preamble ranges </w:t>
            </w:r>
            <w:r>
              <w:rPr>
                <w:rFonts w:hint="eastAsia"/>
                <w:bCs/>
              </w:rPr>
              <w:t>should be</w:t>
            </w:r>
            <w:r>
              <w:rPr>
                <w:bCs/>
              </w:rPr>
              <w:t xml:space="preserve"> used.</w:t>
            </w:r>
          </w:p>
        </w:tc>
      </w:tr>
      <w:tr w:rsidR="00CB247D" w:rsidRPr="000C0751" w:rsidTr="00D63E44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CB247D" w:rsidRPr="004277E6" w:rsidRDefault="00CB247D" w:rsidP="00CB247D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Qualcomm</w:t>
            </w:r>
          </w:p>
        </w:tc>
        <w:tc>
          <w:tcPr>
            <w:tcW w:w="1250" w:type="dxa"/>
          </w:tcPr>
          <w:p w:rsidR="00CB247D" w:rsidRDefault="00CB247D" w:rsidP="00CB247D">
            <w:pPr>
              <w:spacing w:after="0"/>
              <w:ind w:left="202"/>
              <w:contextualSpacing/>
              <w:jc w:val="center"/>
              <w:textAlignment w:val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1</w:t>
            </w:r>
          </w:p>
        </w:tc>
        <w:tc>
          <w:tcPr>
            <w:tcW w:w="6468" w:type="dxa"/>
            <w:shd w:val="clear" w:color="auto" w:fill="auto"/>
          </w:tcPr>
          <w:p w:rsidR="00CB247D" w:rsidRPr="004277E6" w:rsidRDefault="00CB247D" w:rsidP="00CB247D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rFonts w:eastAsia="MS Mincho"/>
                <w:bCs/>
                <w:lang w:eastAsia="ja-JP"/>
              </w:rPr>
              <w:t>We believe the intention was to allow both CE level and group A/B differentiation hence has similar view to LG.</w:t>
            </w:r>
          </w:p>
        </w:tc>
      </w:tr>
    </w:tbl>
    <w:p w:rsidR="00B210B8" w:rsidRDefault="00B210B8" w:rsidP="00B210B8"/>
    <w:p w:rsidR="00100539" w:rsidRDefault="00252B9E" w:rsidP="00100539">
      <w:r>
        <w:t xml:space="preserve">If alternative 1 is selected, it is suggested to </w:t>
      </w:r>
      <w:r w:rsidR="00100539">
        <w:t xml:space="preserve">capture in MAC how the intersection </w:t>
      </w:r>
      <w:r w:rsidR="00DA726D">
        <w:t xml:space="preserve">of the CE-level specific </w:t>
      </w:r>
      <w:r w:rsidR="00100539">
        <w:t>preamble range and preamble group A or B is performed by the UE, as proposed in the corresponding draft MAC CR.</w:t>
      </w:r>
    </w:p>
    <w:p w:rsidR="00100539" w:rsidRDefault="00100539" w:rsidP="00100539">
      <w:r w:rsidRPr="001C24D5">
        <w:rPr>
          <w:b/>
        </w:rPr>
        <w:t>Dis</w:t>
      </w:r>
      <w:r>
        <w:rPr>
          <w:b/>
        </w:rPr>
        <w:t>cussion point 2</w:t>
      </w:r>
      <w:r w:rsidRPr="001C24D5">
        <w:rPr>
          <w:b/>
        </w:rPr>
        <w:t>:</w:t>
      </w:r>
      <w:r w:rsidRPr="001C24D5">
        <w:t xml:space="preserve"> </w:t>
      </w:r>
      <w:r w:rsidR="00DE7FF8">
        <w:t>If alternative 1</w:t>
      </w:r>
      <w:r>
        <w:t xml:space="preserve"> is selected, do you have any comments on the corresponding draft MAC CR? </w:t>
      </w:r>
    </w:p>
    <w:p w:rsidR="00100539" w:rsidRPr="002B7C40" w:rsidRDefault="00954852" w:rsidP="00100539">
      <w:pPr>
        <w:pStyle w:val="Caption"/>
        <w:keepNext/>
        <w:rPr>
          <w:lang w:val="en-US"/>
        </w:rPr>
      </w:pPr>
      <w:r>
        <w:t>Table 2</w:t>
      </w:r>
      <w:r w:rsidR="00100539">
        <w:t xml:space="preserve">. Company's view on Discussion point </w:t>
      </w:r>
      <w:r w:rsidR="00100539">
        <w:rPr>
          <w:rFonts w:hint="eastAsia"/>
        </w:rPr>
        <w:t>2</w:t>
      </w:r>
    </w:p>
    <w:tbl>
      <w:tblPr>
        <w:tblW w:w="8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6249"/>
      </w:tblGrid>
      <w:tr w:rsidR="00100539" w:rsidRPr="000C0751" w:rsidTr="006F1092">
        <w:trPr>
          <w:trHeight w:val="144"/>
          <w:jc w:val="center"/>
        </w:trPr>
        <w:tc>
          <w:tcPr>
            <w:tcW w:w="1872" w:type="dxa"/>
            <w:shd w:val="clear" w:color="auto" w:fill="BFBFBF"/>
            <w:noWrap/>
            <w:vAlign w:val="center"/>
          </w:tcPr>
          <w:p w:rsidR="00100539" w:rsidRPr="000C0751" w:rsidRDefault="00100539" w:rsidP="006F109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6249" w:type="dxa"/>
            <w:shd w:val="clear" w:color="auto" w:fill="BFBFBF"/>
            <w:vAlign w:val="center"/>
          </w:tcPr>
          <w:p w:rsidR="00100539" w:rsidRPr="000C0751" w:rsidRDefault="00100539" w:rsidP="006F1092">
            <w:pPr>
              <w:spacing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100539" w:rsidRPr="000C0751" w:rsidTr="006F1092">
        <w:trPr>
          <w:trHeight w:val="144"/>
          <w:jc w:val="center"/>
        </w:trPr>
        <w:tc>
          <w:tcPr>
            <w:tcW w:w="1872" w:type="dxa"/>
            <w:shd w:val="clear" w:color="auto" w:fill="E0E0E0"/>
            <w:noWrap/>
          </w:tcPr>
          <w:p w:rsidR="00100539" w:rsidRPr="000C0751" w:rsidRDefault="00100539" w:rsidP="006F1092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Ericsson</w:t>
            </w:r>
          </w:p>
        </w:tc>
        <w:tc>
          <w:tcPr>
            <w:tcW w:w="6249" w:type="dxa"/>
            <w:shd w:val="clear" w:color="auto" w:fill="auto"/>
          </w:tcPr>
          <w:p w:rsidR="00100539" w:rsidRPr="001E6BA2" w:rsidRDefault="00DA726D" w:rsidP="006F1092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>We prefer alternative 2 but if other companies think alternative 1 is better, we are fine with capturing it in the way as proposed in draft CR.</w:t>
            </w:r>
          </w:p>
        </w:tc>
      </w:tr>
      <w:tr w:rsidR="00100539" w:rsidRPr="000C0751" w:rsidTr="006F1092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100539" w:rsidRPr="005E2E57" w:rsidRDefault="005E2E57" w:rsidP="006F1092">
            <w:pPr>
              <w:spacing w:after="0"/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 w:hint="eastAsia"/>
                <w:b/>
                <w:bCs/>
                <w:lang w:eastAsia="ko-KR"/>
              </w:rPr>
              <w:t>LG</w:t>
            </w:r>
          </w:p>
        </w:tc>
        <w:tc>
          <w:tcPr>
            <w:tcW w:w="6249" w:type="dxa"/>
            <w:shd w:val="clear" w:color="auto" w:fill="auto"/>
          </w:tcPr>
          <w:p w:rsidR="00100539" w:rsidRDefault="00DA2FA9" w:rsidP="006F1092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The suggested changes would be ok with some </w:t>
            </w:r>
            <w:r w:rsidR="00D56DAC">
              <w:rPr>
                <w:rFonts w:eastAsia="Malgun Gothic" w:hint="eastAsia"/>
                <w:bCs/>
                <w:lang w:eastAsia="ko-KR"/>
              </w:rPr>
              <w:t>modification</w:t>
            </w:r>
            <w:r w:rsidR="00723683">
              <w:rPr>
                <w:rFonts w:eastAsia="Malgun Gothic" w:hint="eastAsia"/>
                <w:bCs/>
                <w:lang w:eastAsia="ko-KR"/>
              </w:rPr>
              <w:t>s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</w:p>
          <w:p w:rsidR="00A9420E" w:rsidRPr="00A9420E" w:rsidRDefault="00A9420E" w:rsidP="00A9420E">
            <w:pPr>
              <w:spacing w:after="0"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 w:rsidRPr="00A9420E">
              <w:rPr>
                <w:rFonts w:eastAsia="Malgun Gothic" w:hint="eastAsia"/>
                <w:bCs/>
                <w:lang w:eastAsia="ko-KR"/>
              </w:rPr>
              <w:t>-</w:t>
            </w:r>
            <w:r>
              <w:rPr>
                <w:rFonts w:eastAsia="Malgun Gothic" w:hint="eastAsia"/>
                <w:bCs/>
                <w:lang w:eastAsia="ko-KR"/>
              </w:rPr>
              <w:t xml:space="preserve"> </w:t>
            </w:r>
            <w:r w:rsidR="00D56DAC" w:rsidRPr="00A9420E">
              <w:rPr>
                <w:rFonts w:eastAsia="Malgun Gothic" w:hint="eastAsia"/>
                <w:bCs/>
                <w:lang w:eastAsia="ko-KR"/>
              </w:rPr>
              <w:t>C</w:t>
            </w:r>
            <w:r w:rsidR="00DA2FA9" w:rsidRPr="00A9420E">
              <w:rPr>
                <w:rFonts w:eastAsia="Malgun Gothic" w:hint="eastAsia"/>
                <w:bCs/>
                <w:lang w:eastAsia="ko-KR"/>
              </w:rPr>
              <w:t xml:space="preserve">onfiguration </w:t>
            </w:r>
            <w:r w:rsidR="00D56DAC" w:rsidRPr="00A9420E">
              <w:rPr>
                <w:rFonts w:eastAsia="Malgun Gothic" w:hint="eastAsia"/>
                <w:bCs/>
                <w:lang w:eastAsia="ko-KR"/>
              </w:rPr>
              <w:t>for</w:t>
            </w:r>
            <w:r w:rsidR="00DA2FA9" w:rsidRPr="00A9420E">
              <w:rPr>
                <w:rFonts w:eastAsia="Malgun Gothic" w:hint="eastAsia"/>
                <w:bCs/>
                <w:lang w:eastAsia="ko-KR"/>
              </w:rPr>
              <w:t xml:space="preserve"> </w:t>
            </w:r>
            <w:r w:rsidR="00DA2FA9" w:rsidRPr="00A9420E">
              <w:rPr>
                <w:i/>
              </w:rPr>
              <w:t>firstPreamble</w:t>
            </w:r>
            <w:r w:rsidR="00D56DAC" w:rsidRPr="00A9420E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D56DAC" w:rsidRPr="00A9420E">
              <w:rPr>
                <w:rFonts w:eastAsia="Malgun Gothic" w:hint="eastAsia"/>
                <w:lang w:eastAsia="ko-KR"/>
              </w:rPr>
              <w:t>and</w:t>
            </w:r>
            <w:r w:rsidR="00D56DAC" w:rsidRPr="00A9420E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DA2FA9" w:rsidRPr="00A9420E">
              <w:rPr>
                <w:i/>
              </w:rPr>
              <w:t>lastPreamble</w:t>
            </w:r>
            <w:r w:rsidR="00DA2FA9" w:rsidRPr="00A9420E">
              <w:rPr>
                <w:rFonts w:eastAsia="Malgun Gothic" w:hint="eastAsia"/>
                <w:bCs/>
                <w:lang w:eastAsia="ko-KR"/>
              </w:rPr>
              <w:t xml:space="preserve"> </w:t>
            </w:r>
            <w:r w:rsidR="00D56DAC" w:rsidRPr="00A9420E">
              <w:rPr>
                <w:rFonts w:eastAsia="Malgun Gothic" w:hint="eastAsia"/>
                <w:bCs/>
                <w:lang w:eastAsia="ko-KR"/>
              </w:rPr>
              <w:t>is</w:t>
            </w:r>
            <w:r w:rsidR="00DA2FA9" w:rsidRPr="00A9420E">
              <w:rPr>
                <w:rFonts w:eastAsia="Malgun Gothic" w:hint="eastAsia"/>
                <w:bCs/>
                <w:lang w:eastAsia="ko-KR"/>
              </w:rPr>
              <w:t xml:space="preserve"> optional in RRC specification. </w:t>
            </w:r>
            <w:r w:rsidR="00FC494E" w:rsidRPr="00A9420E">
              <w:rPr>
                <w:rFonts w:eastAsia="Malgun Gothic"/>
                <w:bCs/>
                <w:lang w:eastAsia="ko-KR"/>
              </w:rPr>
              <w:t>I</w:t>
            </w:r>
            <w:r w:rsidR="00FC494E" w:rsidRPr="00A9420E">
              <w:rPr>
                <w:rFonts w:eastAsia="Malgun Gothic" w:hint="eastAsia"/>
                <w:bCs/>
                <w:lang w:eastAsia="ko-KR"/>
              </w:rPr>
              <w:t xml:space="preserve">f </w:t>
            </w:r>
            <w:r w:rsidR="00007E19" w:rsidRPr="00A9420E">
              <w:rPr>
                <w:rFonts w:eastAsia="Malgun Gothic" w:hint="eastAsia"/>
                <w:bCs/>
                <w:lang w:eastAsia="ko-KR"/>
              </w:rPr>
              <w:t>these are not</w:t>
            </w:r>
            <w:r w:rsidR="00FC494E" w:rsidRPr="00A9420E">
              <w:rPr>
                <w:rFonts w:eastAsia="Malgun Gothic" w:hint="eastAsia"/>
                <w:bCs/>
                <w:lang w:eastAsia="ko-KR"/>
              </w:rPr>
              <w:t xml:space="preserve"> </w:t>
            </w:r>
            <w:r w:rsidR="00007E19" w:rsidRPr="00A9420E">
              <w:rPr>
                <w:rFonts w:eastAsia="Malgun Gothic" w:hint="eastAsia"/>
                <w:bCs/>
                <w:lang w:eastAsia="ko-KR"/>
              </w:rPr>
              <w:t>available</w:t>
            </w:r>
            <w:r w:rsidR="00FC494E" w:rsidRPr="00A9420E">
              <w:rPr>
                <w:rFonts w:eastAsia="Malgun Gothic" w:hint="eastAsia"/>
                <w:bCs/>
                <w:lang w:eastAsia="ko-KR"/>
              </w:rPr>
              <w:t xml:space="preserve">, UEs should </w:t>
            </w:r>
            <w:r w:rsidR="00007E19" w:rsidRPr="00A9420E">
              <w:rPr>
                <w:rFonts w:eastAsia="Malgun Gothic" w:hint="eastAsia"/>
                <w:bCs/>
                <w:lang w:eastAsia="ko-KR"/>
              </w:rPr>
              <w:t>define group A and B</w:t>
            </w:r>
            <w:r w:rsidR="00FC494E" w:rsidRPr="00A9420E">
              <w:rPr>
                <w:rFonts w:eastAsia="Malgun Gothic" w:hint="eastAsia"/>
                <w:bCs/>
                <w:lang w:eastAsia="ko-KR"/>
              </w:rPr>
              <w:t xml:space="preserve"> without intersection. We think that this should be addressed in the specification</w:t>
            </w:r>
            <w:r w:rsidR="00007E19" w:rsidRPr="00A9420E">
              <w:rPr>
                <w:rFonts w:eastAsia="Malgun Gothic" w:hint="eastAsia"/>
                <w:bCs/>
                <w:lang w:eastAsia="ko-KR"/>
              </w:rPr>
              <w:t xml:space="preserve"> for </w:t>
            </w:r>
            <w:r w:rsidRPr="00A9420E">
              <w:rPr>
                <w:rFonts w:eastAsia="Malgun Gothic"/>
                <w:bCs/>
                <w:lang w:eastAsia="ko-KR"/>
              </w:rPr>
              <w:t>clarification</w:t>
            </w:r>
            <w:r w:rsidR="00FC494E" w:rsidRPr="00A9420E">
              <w:rPr>
                <w:rFonts w:eastAsia="Malgun Gothic" w:hint="eastAsia"/>
                <w:bCs/>
                <w:lang w:eastAsia="ko-KR"/>
              </w:rPr>
              <w:t>.</w:t>
            </w:r>
            <w:r w:rsidR="00D56DAC" w:rsidRPr="00A9420E">
              <w:rPr>
                <w:rFonts w:eastAsia="Malgun Gothic" w:hint="eastAsia"/>
                <w:bCs/>
                <w:lang w:eastAsia="ko-KR"/>
              </w:rPr>
              <w:t xml:space="preserve"> </w:t>
            </w:r>
          </w:p>
          <w:p w:rsidR="00A9420E" w:rsidRDefault="00A9420E" w:rsidP="00007E19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- </w:t>
            </w:r>
            <w:r>
              <w:rPr>
                <w:rFonts w:eastAsia="Malgun Gothic"/>
                <w:bCs/>
                <w:lang w:eastAsia="ko-KR"/>
              </w:rPr>
              <w:t>I</w:t>
            </w:r>
            <w:r>
              <w:rPr>
                <w:rFonts w:eastAsia="Malgun Gothic" w:hint="eastAsia"/>
                <w:bCs/>
                <w:lang w:eastAsia="ko-KR"/>
              </w:rPr>
              <w:t xml:space="preserve">n section 5.1.5, the sentence for </w:t>
            </w:r>
            <w:r w:rsidRPr="00A9420E">
              <w:rPr>
                <w:rFonts w:eastAsia="Malgun Gothic" w:hint="eastAsia"/>
                <w:bCs/>
                <w:i/>
                <w:lang w:eastAsia="ko-KR"/>
              </w:rPr>
              <w:t>ContentionResolutionTimer</w:t>
            </w:r>
            <w:r>
              <w:rPr>
                <w:rFonts w:eastAsia="Malgun Gothic" w:hint="eastAsia"/>
                <w:bCs/>
                <w:lang w:eastAsia="ko-KR"/>
              </w:rPr>
              <w:t xml:space="preserve"> should not be removed this CR </w:t>
            </w:r>
            <w:r>
              <w:rPr>
                <w:rFonts w:eastAsia="Malgun Gothic"/>
                <w:bCs/>
                <w:lang w:eastAsia="ko-KR"/>
              </w:rPr>
              <w:t>because</w:t>
            </w:r>
            <w:r>
              <w:rPr>
                <w:rFonts w:eastAsia="Malgun Gothic" w:hint="eastAsia"/>
                <w:bCs/>
                <w:lang w:eastAsia="ko-KR"/>
              </w:rPr>
              <w:t xml:space="preserve"> we have focused on preamble definition. So this is out of scope of this CR. </w:t>
            </w:r>
          </w:p>
          <w:p w:rsidR="00DA2FA9" w:rsidRPr="002E4A3B" w:rsidRDefault="00D56DAC" w:rsidP="00007E19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lastRenderedPageBreak/>
              <w:t>P</w:t>
            </w:r>
            <w:r>
              <w:rPr>
                <w:rFonts w:eastAsia="Malgun Gothic" w:hint="eastAsia"/>
                <w:bCs/>
                <w:lang w:eastAsia="ko-KR"/>
              </w:rPr>
              <w:t>lease find detail</w:t>
            </w:r>
            <w:r w:rsidR="003765DA">
              <w:rPr>
                <w:rFonts w:eastAsia="Malgun Gothic" w:hint="eastAsia"/>
                <w:bCs/>
                <w:lang w:eastAsia="ko-KR"/>
              </w:rPr>
              <w:t>s</w:t>
            </w:r>
            <w:r>
              <w:rPr>
                <w:rFonts w:eastAsia="Malgun Gothic" w:hint="eastAsia"/>
                <w:bCs/>
                <w:lang w:eastAsia="ko-KR"/>
              </w:rPr>
              <w:t xml:space="preserve"> at the attached MAC CR. </w:t>
            </w:r>
          </w:p>
        </w:tc>
      </w:tr>
      <w:tr w:rsidR="00D63E44" w:rsidRPr="000C0751" w:rsidTr="006F1092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D63E44" w:rsidRDefault="00D63E44" w:rsidP="006F1092">
            <w:pPr>
              <w:spacing w:after="0"/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</w:rPr>
              <w:lastRenderedPageBreak/>
              <w:t>ZTE</w:t>
            </w:r>
          </w:p>
        </w:tc>
        <w:tc>
          <w:tcPr>
            <w:tcW w:w="6249" w:type="dxa"/>
            <w:shd w:val="clear" w:color="auto" w:fill="auto"/>
          </w:tcPr>
          <w:p w:rsidR="00D63E44" w:rsidRDefault="00D63E44" w:rsidP="006F1092">
            <w:pPr>
              <w:spacing w:after="0"/>
              <w:contextualSpacing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hint="eastAsia"/>
                <w:bCs/>
              </w:rPr>
              <w:t>See the proposed changes to alternative1 (only in section 5.1.1).</w:t>
            </w:r>
          </w:p>
        </w:tc>
      </w:tr>
      <w:tr w:rsidR="00CB247D" w:rsidRPr="000C0751" w:rsidTr="006F1092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CB247D" w:rsidRDefault="00CB247D" w:rsidP="006F1092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Qualcomm</w:t>
            </w:r>
          </w:p>
        </w:tc>
        <w:tc>
          <w:tcPr>
            <w:tcW w:w="6249" w:type="dxa"/>
            <w:shd w:val="clear" w:color="auto" w:fill="auto"/>
          </w:tcPr>
          <w:p w:rsidR="00CB247D" w:rsidRDefault="00CB247D" w:rsidP="00CB247D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 xml:space="preserve">The CR for alternative 1 looks fine provided the case of </w:t>
            </w:r>
            <w:proofErr w:type="spellStart"/>
            <w:r w:rsidRPr="00FE544D">
              <w:rPr>
                <w:bCs/>
                <w:i/>
              </w:rPr>
              <w:t>firstPreamble</w:t>
            </w:r>
            <w:proofErr w:type="spellEnd"/>
            <w:r>
              <w:rPr>
                <w:bCs/>
              </w:rPr>
              <w:t xml:space="preserve"> &amp; </w:t>
            </w:r>
            <w:proofErr w:type="spellStart"/>
            <w:r w:rsidRPr="00FE544D">
              <w:rPr>
                <w:bCs/>
                <w:i/>
              </w:rPr>
              <w:t>lastPreamble</w:t>
            </w:r>
            <w:proofErr w:type="spellEnd"/>
            <w:r>
              <w:rPr>
                <w:bCs/>
              </w:rPr>
              <w:t xml:space="preserve"> not provided. E.g.</w:t>
            </w:r>
          </w:p>
          <w:p w:rsidR="00CB247D" w:rsidRDefault="00CB247D" w:rsidP="00CB247D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</w:p>
          <w:p w:rsidR="00CB247D" w:rsidRPr="00E24EFD" w:rsidRDefault="00CB247D" w:rsidP="00CB247D">
            <w:pPr>
              <w:pStyle w:val="B3"/>
              <w:numPr>
                <w:ilvl w:val="0"/>
                <w:numId w:val="36"/>
              </w:numPr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Random Access Preambles group A contains the preambles in the intersection of the set defined by 0 to </w:t>
            </w:r>
            <w:r>
              <w:rPr>
                <w:i/>
                <w:noProof/>
              </w:rPr>
              <w:t>sizeOfRA-PreamblesGroupA</w:t>
            </w:r>
            <w:r>
              <w:rPr>
                <w:noProof/>
              </w:rPr>
              <w:t xml:space="preserve"> </w:t>
            </w:r>
            <w:r>
              <w:t>–</w:t>
            </w:r>
            <w:r>
              <w:rPr>
                <w:noProof/>
              </w:rPr>
              <w:t xml:space="preserve"> 1 and the set defined by </w:t>
            </w:r>
            <w:r>
              <w:rPr>
                <w:i/>
                <w:noProof/>
              </w:rPr>
              <w:t>firstPreamble</w:t>
            </w:r>
            <w:r>
              <w:rPr>
                <w:noProof/>
              </w:rPr>
              <w:t xml:space="preserve"> </w:t>
            </w:r>
            <w:r w:rsidRPr="00E24EFD">
              <w:rPr>
                <w:noProof/>
                <w:highlight w:val="yellow"/>
              </w:rPr>
              <w:t xml:space="preserve">(or 0 if </w:t>
            </w:r>
            <w:r w:rsidRPr="00E24EFD">
              <w:rPr>
                <w:i/>
                <w:noProof/>
                <w:highlight w:val="yellow"/>
              </w:rPr>
              <w:t>firstPreamble</w:t>
            </w:r>
            <w:r w:rsidRPr="00E24EFD">
              <w:rPr>
                <w:noProof/>
                <w:highlight w:val="yellow"/>
              </w:rPr>
              <w:t xml:space="preserve"> not provided)</w:t>
            </w:r>
            <w:r>
              <w:rPr>
                <w:noProof/>
              </w:rPr>
              <w:t xml:space="preserve"> and </w:t>
            </w:r>
            <w:r>
              <w:rPr>
                <w:i/>
                <w:noProof/>
              </w:rPr>
              <w:t>lastPreamble</w:t>
            </w:r>
            <w:r>
              <w:rPr>
                <w:noProof/>
              </w:rPr>
              <w:t xml:space="preserve"> </w:t>
            </w:r>
            <w:r w:rsidRPr="00E24EFD">
              <w:rPr>
                <w:noProof/>
                <w:highlight w:val="yellow"/>
              </w:rPr>
              <w:t xml:space="preserve">(or </w:t>
            </w:r>
            <w:r w:rsidRPr="00E24EFD">
              <w:rPr>
                <w:i/>
                <w:noProof/>
                <w:highlight w:val="yellow"/>
              </w:rPr>
              <w:t xml:space="preserve">numberOfRA-Preambles </w:t>
            </w:r>
            <w:r w:rsidRPr="00E24EFD">
              <w:rPr>
                <w:highlight w:val="yellow"/>
              </w:rPr>
              <w:t>–</w:t>
            </w:r>
            <w:r w:rsidRPr="00E24EFD">
              <w:rPr>
                <w:noProof/>
                <w:highlight w:val="yellow"/>
              </w:rPr>
              <w:t xml:space="preserve"> 1 if </w:t>
            </w:r>
            <w:r w:rsidRPr="00E24EFD">
              <w:rPr>
                <w:i/>
                <w:noProof/>
                <w:highlight w:val="yellow"/>
              </w:rPr>
              <w:t>lastPreamble</w:t>
            </w:r>
            <w:r w:rsidRPr="00E24EFD">
              <w:rPr>
                <w:noProof/>
                <w:highlight w:val="yellow"/>
              </w:rPr>
              <w:t xml:space="preserve"> not provided)</w:t>
            </w:r>
            <w:r>
              <w:rPr>
                <w:noProof/>
              </w:rPr>
              <w:t xml:space="preserve"> of the current enhanced coverage level of the UE;</w:t>
            </w:r>
          </w:p>
          <w:p w:rsidR="00CB247D" w:rsidRDefault="00CB247D" w:rsidP="00CB247D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Random Access Preambles group B, if it exists, contains the preambles in the intersection of the set defined by </w:t>
            </w:r>
            <w:r>
              <w:rPr>
                <w:i/>
                <w:noProof/>
              </w:rPr>
              <w:t>sizeOfRA-PreamblesGroupA</w:t>
            </w:r>
            <w:r>
              <w:rPr>
                <w:noProof/>
              </w:rPr>
              <w:t xml:space="preserve"> to </w:t>
            </w:r>
            <w:r>
              <w:rPr>
                <w:i/>
                <w:noProof/>
              </w:rPr>
              <w:t xml:space="preserve">numberOfRA-Preambles </w:t>
            </w:r>
            <w:r>
              <w:t>–</w:t>
            </w:r>
            <w:r>
              <w:rPr>
                <w:noProof/>
              </w:rPr>
              <w:t xml:space="preserve"> 1 and the set defined by </w:t>
            </w:r>
            <w:r>
              <w:rPr>
                <w:i/>
                <w:noProof/>
              </w:rPr>
              <w:t>firstPreamble</w:t>
            </w:r>
            <w:r>
              <w:rPr>
                <w:noProof/>
              </w:rPr>
              <w:t xml:space="preserve"> </w:t>
            </w:r>
            <w:r w:rsidRPr="00E24EFD">
              <w:rPr>
                <w:noProof/>
                <w:highlight w:val="yellow"/>
              </w:rPr>
              <w:t xml:space="preserve">(or 0 if </w:t>
            </w:r>
            <w:r w:rsidRPr="00E24EFD">
              <w:rPr>
                <w:i/>
                <w:noProof/>
                <w:highlight w:val="yellow"/>
              </w:rPr>
              <w:t>firstPreamble</w:t>
            </w:r>
            <w:r w:rsidRPr="00E24EFD">
              <w:rPr>
                <w:noProof/>
                <w:highlight w:val="yellow"/>
              </w:rPr>
              <w:t xml:space="preserve"> not provided)</w:t>
            </w:r>
            <w:r>
              <w:rPr>
                <w:noProof/>
              </w:rPr>
              <w:t xml:space="preserve"> and </w:t>
            </w:r>
            <w:r>
              <w:rPr>
                <w:i/>
                <w:noProof/>
              </w:rPr>
              <w:t>lastPreamble</w:t>
            </w:r>
            <w:r>
              <w:rPr>
                <w:noProof/>
              </w:rPr>
              <w:t xml:space="preserve"> </w:t>
            </w:r>
            <w:r w:rsidRPr="00E24EFD">
              <w:rPr>
                <w:noProof/>
                <w:highlight w:val="yellow"/>
              </w:rPr>
              <w:t xml:space="preserve">(or </w:t>
            </w:r>
            <w:r w:rsidRPr="00E24EFD">
              <w:rPr>
                <w:i/>
                <w:noProof/>
                <w:highlight w:val="yellow"/>
              </w:rPr>
              <w:t xml:space="preserve">numberOfRA-Preambles </w:t>
            </w:r>
            <w:r w:rsidRPr="00E24EFD">
              <w:rPr>
                <w:highlight w:val="yellow"/>
              </w:rPr>
              <w:t>–</w:t>
            </w:r>
            <w:r w:rsidRPr="00E24EFD">
              <w:rPr>
                <w:noProof/>
                <w:highlight w:val="yellow"/>
              </w:rPr>
              <w:t xml:space="preserve"> 1 if </w:t>
            </w:r>
            <w:r w:rsidRPr="00E24EFD">
              <w:rPr>
                <w:i/>
                <w:noProof/>
                <w:highlight w:val="yellow"/>
              </w:rPr>
              <w:t>lastPreamble</w:t>
            </w:r>
            <w:r w:rsidRPr="00E24EFD">
              <w:rPr>
                <w:noProof/>
                <w:highlight w:val="yellow"/>
              </w:rPr>
              <w:t xml:space="preserve"> not provided)</w:t>
            </w:r>
            <w:r>
              <w:rPr>
                <w:noProof/>
              </w:rPr>
              <w:t xml:space="preserve"> of the current enhanced coverage level of the UE;</w:t>
            </w:r>
          </w:p>
        </w:tc>
      </w:tr>
    </w:tbl>
    <w:p w:rsidR="00252B9E" w:rsidRDefault="00252B9E" w:rsidP="00B210B8"/>
    <w:p w:rsidR="00100539" w:rsidRPr="00D63E44" w:rsidRDefault="00100539" w:rsidP="00B210B8"/>
    <w:p w:rsidR="00BD6E98" w:rsidRDefault="00D12F3A" w:rsidP="00B210B8">
      <w:r>
        <w:t xml:space="preserve">If </w:t>
      </w:r>
      <w:r w:rsidR="00332D40">
        <w:t>alternative 2</w:t>
      </w:r>
      <w:r>
        <w:t xml:space="preserve"> is selected</w:t>
      </w:r>
      <w:r w:rsidR="00332D40">
        <w:t>,</w:t>
      </w:r>
      <w:r>
        <w:t xml:space="preserve"> it is </w:t>
      </w:r>
      <w:r w:rsidR="000D2FD3">
        <w:t>suggested</w:t>
      </w:r>
      <w:r>
        <w:t xml:space="preserve"> to </w:t>
      </w:r>
      <w:r w:rsidR="00BD6E98">
        <w:t xml:space="preserve">clarify in </w:t>
      </w:r>
      <w:r w:rsidR="000D2FD3">
        <w:t xml:space="preserve">MAC </w:t>
      </w:r>
      <w:r w:rsidR="00BD6E98">
        <w:t xml:space="preserve">that CE-level specific preamble ranges are not used </w:t>
      </w:r>
      <w:r w:rsidR="006C2073">
        <w:t>at the same time as</w:t>
      </w:r>
      <w:r w:rsidR="00BD6E98">
        <w:t xml:space="preserve"> preamble group A and B and remove the</w:t>
      </w:r>
      <w:r>
        <w:t xml:space="preserve"> </w:t>
      </w:r>
      <w:r w:rsidR="00332D40">
        <w:t>misleading</w:t>
      </w:r>
      <w:r>
        <w:t xml:space="preserve"> </w:t>
      </w:r>
      <w:r w:rsidR="000D2FD3">
        <w:t xml:space="preserve">note in section 5.1.1, as </w:t>
      </w:r>
      <w:r w:rsidR="00332D40">
        <w:t xml:space="preserve">proposed in the </w:t>
      </w:r>
      <w:r w:rsidR="007124FE">
        <w:t xml:space="preserve">corresponding draft </w:t>
      </w:r>
      <w:r w:rsidR="00332D40">
        <w:t>MAC CR.</w:t>
      </w:r>
    </w:p>
    <w:p w:rsidR="00332D40" w:rsidRDefault="00332D40" w:rsidP="00332D40">
      <w:r w:rsidRPr="001C24D5">
        <w:rPr>
          <w:b/>
        </w:rPr>
        <w:t>Dis</w:t>
      </w:r>
      <w:r>
        <w:rPr>
          <w:b/>
        </w:rPr>
        <w:t>c</w:t>
      </w:r>
      <w:r w:rsidR="00100539">
        <w:rPr>
          <w:b/>
        </w:rPr>
        <w:t>ussion point 3</w:t>
      </w:r>
      <w:r w:rsidRPr="001C24D5">
        <w:rPr>
          <w:b/>
        </w:rPr>
        <w:t>:</w:t>
      </w:r>
      <w:r w:rsidRPr="001C24D5">
        <w:t xml:space="preserve"> </w:t>
      </w:r>
      <w:r>
        <w:t>If alternative 2 is selected,</w:t>
      </w:r>
      <w:r w:rsidR="007124FE">
        <w:t xml:space="preserve"> do you have any comments on the corresponding draft MAC CR? </w:t>
      </w:r>
    </w:p>
    <w:p w:rsidR="00332D40" w:rsidRPr="002B7C40" w:rsidRDefault="00954852" w:rsidP="00332D40">
      <w:pPr>
        <w:pStyle w:val="Caption"/>
        <w:keepNext/>
        <w:rPr>
          <w:lang w:val="en-US"/>
        </w:rPr>
      </w:pPr>
      <w:r>
        <w:t>Table 3</w:t>
      </w:r>
      <w:r w:rsidR="00332D40">
        <w:t xml:space="preserve">. Company's view on Discussion point </w:t>
      </w:r>
      <w:r w:rsidR="00100539">
        <w:rPr>
          <w:rFonts w:hint="eastAsia"/>
        </w:rPr>
        <w:t>3</w:t>
      </w:r>
    </w:p>
    <w:tbl>
      <w:tblPr>
        <w:tblW w:w="8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6249"/>
      </w:tblGrid>
      <w:tr w:rsidR="007124FE" w:rsidRPr="000C0751" w:rsidTr="007124FE">
        <w:trPr>
          <w:trHeight w:val="144"/>
          <w:jc w:val="center"/>
        </w:trPr>
        <w:tc>
          <w:tcPr>
            <w:tcW w:w="1872" w:type="dxa"/>
            <w:shd w:val="clear" w:color="auto" w:fill="BFBFBF"/>
            <w:noWrap/>
            <w:vAlign w:val="center"/>
          </w:tcPr>
          <w:p w:rsidR="007124FE" w:rsidRPr="000C0751" w:rsidRDefault="007124FE" w:rsidP="006F109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Company’s name</w:t>
            </w:r>
          </w:p>
        </w:tc>
        <w:tc>
          <w:tcPr>
            <w:tcW w:w="6249" w:type="dxa"/>
            <w:shd w:val="clear" w:color="auto" w:fill="BFBFBF"/>
            <w:vAlign w:val="center"/>
          </w:tcPr>
          <w:p w:rsidR="007124FE" w:rsidRPr="000C0751" w:rsidRDefault="007124FE" w:rsidP="006F1092">
            <w:pPr>
              <w:spacing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7124FE" w:rsidRPr="000C0751" w:rsidTr="007124FE">
        <w:trPr>
          <w:trHeight w:val="144"/>
          <w:jc w:val="center"/>
        </w:trPr>
        <w:tc>
          <w:tcPr>
            <w:tcW w:w="1872" w:type="dxa"/>
            <w:shd w:val="clear" w:color="auto" w:fill="E0E0E0"/>
            <w:noWrap/>
          </w:tcPr>
          <w:p w:rsidR="007124FE" w:rsidRPr="000C0751" w:rsidRDefault="007124FE" w:rsidP="006F1092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Ericsson</w:t>
            </w:r>
          </w:p>
        </w:tc>
        <w:tc>
          <w:tcPr>
            <w:tcW w:w="6249" w:type="dxa"/>
            <w:shd w:val="clear" w:color="auto" w:fill="auto"/>
          </w:tcPr>
          <w:p w:rsidR="007124FE" w:rsidRPr="001E6BA2" w:rsidRDefault="007124FE" w:rsidP="006F1092">
            <w:pPr>
              <w:spacing w:after="0"/>
              <w:contextualSpacing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>We are fine with the suggested changes.</w:t>
            </w:r>
          </w:p>
        </w:tc>
      </w:tr>
      <w:tr w:rsidR="007124FE" w:rsidRPr="000C0751" w:rsidTr="007124FE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7124FE" w:rsidRPr="005E2E57" w:rsidRDefault="005E2E57" w:rsidP="006F1092">
            <w:pPr>
              <w:spacing w:after="0"/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 w:hint="eastAsia"/>
                <w:b/>
                <w:bCs/>
                <w:lang w:eastAsia="ko-KR"/>
              </w:rPr>
              <w:t>LG</w:t>
            </w:r>
          </w:p>
        </w:tc>
        <w:tc>
          <w:tcPr>
            <w:tcW w:w="6249" w:type="dxa"/>
            <w:shd w:val="clear" w:color="auto" w:fill="auto"/>
          </w:tcPr>
          <w:p w:rsidR="005E3A93" w:rsidRPr="00007E19" w:rsidRDefault="00007E19" w:rsidP="00007E19">
            <w:pPr>
              <w:spacing w:after="0"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 w:rsidRPr="00007E19">
              <w:rPr>
                <w:rFonts w:eastAsia="Malgun Gothic" w:hint="eastAsia"/>
                <w:i/>
                <w:lang w:eastAsia="ko-KR"/>
              </w:rPr>
              <w:t>-</w:t>
            </w:r>
            <w:r>
              <w:rPr>
                <w:i/>
              </w:rPr>
              <w:t xml:space="preserve"> </w:t>
            </w:r>
            <w:r w:rsidR="003765DA" w:rsidRPr="00007E19">
              <w:rPr>
                <w:i/>
              </w:rPr>
              <w:t>firstPreamble</w:t>
            </w:r>
            <w:r w:rsidR="003765DA" w:rsidRPr="00007E19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3765DA" w:rsidRPr="00007E19">
              <w:rPr>
                <w:rFonts w:eastAsia="Malgun Gothic" w:hint="eastAsia"/>
                <w:lang w:eastAsia="ko-KR"/>
              </w:rPr>
              <w:t>and</w:t>
            </w:r>
            <w:r w:rsidR="003765DA" w:rsidRPr="00007E19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="003765DA" w:rsidRPr="00007E19">
              <w:rPr>
                <w:i/>
              </w:rPr>
              <w:t>lastPreamble</w:t>
            </w:r>
            <w:r w:rsidR="003765DA" w:rsidRPr="00007E19">
              <w:rPr>
                <w:rFonts w:eastAsia="Malgun Gothic" w:hint="eastAsia"/>
                <w:bCs/>
                <w:lang w:eastAsia="ko-KR"/>
              </w:rPr>
              <w:t xml:space="preserve"> are optional configurations. </w:t>
            </w:r>
            <w:r>
              <w:rPr>
                <w:rFonts w:eastAsia="Malgun Gothic"/>
                <w:bCs/>
                <w:lang w:eastAsia="ko-KR"/>
              </w:rPr>
              <w:t>W</w:t>
            </w:r>
            <w:r>
              <w:rPr>
                <w:rFonts w:eastAsia="Malgun Gothic" w:hint="eastAsia"/>
                <w:bCs/>
                <w:lang w:eastAsia="ko-KR"/>
              </w:rPr>
              <w:t>hen</w:t>
            </w:r>
            <w:r w:rsidR="003765DA" w:rsidRPr="00007E19">
              <w:rPr>
                <w:rFonts w:eastAsia="Malgun Gothic" w:hint="eastAsia"/>
                <w:bCs/>
                <w:lang w:eastAsia="ko-KR"/>
              </w:rPr>
              <w:t xml:space="preserve"> these are not existed, </w:t>
            </w:r>
            <w:r>
              <w:rPr>
                <w:rFonts w:eastAsia="Malgun Gothic" w:hint="eastAsia"/>
                <w:bCs/>
                <w:lang w:eastAsia="ko-KR"/>
              </w:rPr>
              <w:t xml:space="preserve">the specification should address how to define preamble group. </w:t>
            </w:r>
          </w:p>
          <w:p w:rsidR="00CF1F7A" w:rsidRPr="00007E19" w:rsidRDefault="00007E19" w:rsidP="00007E19">
            <w:pPr>
              <w:spacing w:after="0"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 w:rsidRPr="00007E19">
              <w:rPr>
                <w:rFonts w:eastAsia="Malgun Gothic" w:hint="eastAsia"/>
                <w:bCs/>
                <w:lang w:eastAsia="ko-KR"/>
              </w:rPr>
              <w:t>-</w:t>
            </w:r>
            <w:r>
              <w:rPr>
                <w:rFonts w:eastAsia="Malgun Gothic" w:hint="eastAsia"/>
                <w:bCs/>
                <w:lang w:eastAsia="ko-KR"/>
              </w:rPr>
              <w:t xml:space="preserve"> </w:t>
            </w:r>
            <w:r w:rsidR="00A9420E">
              <w:rPr>
                <w:rFonts w:eastAsia="Malgun Gothic" w:hint="eastAsia"/>
                <w:bCs/>
                <w:lang w:eastAsia="ko-KR"/>
              </w:rPr>
              <w:t>In s</w:t>
            </w:r>
            <w:r w:rsidR="00CF1F7A" w:rsidRPr="00007E19">
              <w:rPr>
                <w:rFonts w:eastAsia="Malgun Gothic" w:hint="eastAsia"/>
                <w:bCs/>
                <w:lang w:eastAsia="ko-KR"/>
              </w:rPr>
              <w:t>ection 5.1.2</w:t>
            </w:r>
            <w:r w:rsidR="003C3A36" w:rsidRPr="00007E19">
              <w:rPr>
                <w:rFonts w:eastAsia="Malgun Gothic" w:hint="eastAsia"/>
                <w:bCs/>
                <w:lang w:eastAsia="ko-KR"/>
              </w:rPr>
              <w:t xml:space="preserve"> should be updated like below.</w:t>
            </w:r>
          </w:p>
          <w:p w:rsidR="00CF1F7A" w:rsidRDefault="00007E19" w:rsidP="00CF1F7A">
            <w:pPr>
              <w:spacing w:after="0"/>
              <w:ind w:left="400"/>
              <w:jc w:val="left"/>
              <w:textAlignment w:val="auto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“</w:t>
            </w:r>
            <w:r w:rsidR="00CF1F7A">
              <w:rPr>
                <w:noProof/>
              </w:rPr>
              <w:t xml:space="preserve">Except for BL UEs or UEs in enhanced coverage in case preamble group B does not exist, or </w:t>
            </w:r>
            <w:r w:rsidR="00CF1F7A" w:rsidRPr="00CF1F7A">
              <w:rPr>
                <w:strike/>
                <w:noProof/>
                <w:color w:val="FF0000"/>
              </w:rPr>
              <w:t>for</w:t>
            </w:r>
            <w:r w:rsidR="00CF1F7A">
              <w:rPr>
                <w:noProof/>
              </w:rPr>
              <w:t xml:space="preserve"> NB-IoT UEs</w:t>
            </w:r>
            <w:r>
              <w:rPr>
                <w:rFonts w:eastAsia="Malgun Gothic"/>
                <w:noProof/>
                <w:lang w:eastAsia="ko-KR"/>
              </w:rPr>
              <w:t>”</w:t>
            </w:r>
          </w:p>
          <w:p w:rsidR="00A9420E" w:rsidRPr="00007E19" w:rsidRDefault="00A9420E" w:rsidP="00A9420E">
            <w:pPr>
              <w:spacing w:after="0"/>
              <w:jc w:val="left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- </w:t>
            </w:r>
            <w:r>
              <w:rPr>
                <w:rFonts w:eastAsia="Malgun Gothic"/>
                <w:bCs/>
                <w:lang w:eastAsia="ko-KR"/>
              </w:rPr>
              <w:t>I</w:t>
            </w:r>
            <w:r>
              <w:rPr>
                <w:rFonts w:eastAsia="Malgun Gothic" w:hint="eastAsia"/>
                <w:bCs/>
                <w:lang w:eastAsia="ko-KR"/>
              </w:rPr>
              <w:t xml:space="preserve">n section 5.1.5, the sentence for </w:t>
            </w:r>
            <w:r w:rsidRPr="00A9420E">
              <w:rPr>
                <w:rFonts w:eastAsia="Malgun Gothic" w:hint="eastAsia"/>
                <w:bCs/>
                <w:i/>
                <w:lang w:eastAsia="ko-KR"/>
              </w:rPr>
              <w:t>ContentionResolutionTimer</w:t>
            </w:r>
            <w:r>
              <w:rPr>
                <w:rFonts w:eastAsia="Malgun Gothic" w:hint="eastAsia"/>
                <w:bCs/>
                <w:lang w:eastAsia="ko-KR"/>
              </w:rPr>
              <w:t xml:space="preserve"> should not be removed this CR </w:t>
            </w:r>
            <w:r>
              <w:rPr>
                <w:rFonts w:eastAsia="Malgun Gothic"/>
                <w:bCs/>
                <w:lang w:eastAsia="ko-KR"/>
              </w:rPr>
              <w:t>because</w:t>
            </w:r>
            <w:r>
              <w:rPr>
                <w:rFonts w:eastAsia="Malgun Gothic" w:hint="eastAsia"/>
                <w:bCs/>
                <w:lang w:eastAsia="ko-KR"/>
              </w:rPr>
              <w:t xml:space="preserve"> we have focused on preamble definition. So this is out of scope of this CR.</w:t>
            </w:r>
          </w:p>
        </w:tc>
      </w:tr>
      <w:tr w:rsidR="00357436" w:rsidRPr="000C0751" w:rsidTr="007124FE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357436" w:rsidRPr="00357436" w:rsidRDefault="00357436" w:rsidP="006F1092">
            <w:pPr>
              <w:spacing w:after="0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 w:hint="eastAsia"/>
                <w:b/>
                <w:bCs/>
                <w:lang w:eastAsia="ja-JP"/>
              </w:rPr>
              <w:t>NTT DOCOMO</w:t>
            </w:r>
          </w:p>
        </w:tc>
        <w:tc>
          <w:tcPr>
            <w:tcW w:w="6249" w:type="dxa"/>
            <w:shd w:val="clear" w:color="auto" w:fill="auto"/>
          </w:tcPr>
          <w:p w:rsidR="00357436" w:rsidRPr="00357436" w:rsidRDefault="00357436" w:rsidP="0011331A">
            <w:pPr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The current CR intends to change the UE behaviour such that UE does not refer to </w:t>
            </w:r>
            <w:r w:rsidRPr="00007E19">
              <w:rPr>
                <w:i/>
              </w:rPr>
              <w:t>firstPreamble</w:t>
            </w:r>
            <w:r w:rsidRPr="00007E19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007E19">
              <w:rPr>
                <w:rFonts w:eastAsia="Malgun Gothic" w:hint="eastAsia"/>
                <w:lang w:eastAsia="ko-KR"/>
              </w:rPr>
              <w:t>and</w:t>
            </w:r>
            <w:r w:rsidRPr="00007E19">
              <w:rPr>
                <w:rFonts w:eastAsia="Malgun Gothic" w:hint="eastAsia"/>
                <w:i/>
                <w:lang w:eastAsia="ko-KR"/>
              </w:rPr>
              <w:t xml:space="preserve"> </w:t>
            </w:r>
            <w:r w:rsidRPr="00007E19">
              <w:rPr>
                <w:i/>
              </w:rPr>
              <w:t>lastPreamble</w:t>
            </w:r>
            <w:r w:rsidRPr="00007E19">
              <w:rPr>
                <w:rFonts w:eastAsia="Malgun Gothic" w:hint="eastAsia"/>
                <w:bCs/>
                <w:lang w:eastAsia="ko-KR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 xml:space="preserve">when group A and B are configured. However, we think </w:t>
            </w:r>
            <w:r>
              <w:rPr>
                <w:rFonts w:eastAsia="MS Mincho"/>
                <w:lang w:eastAsia="ja-JP"/>
              </w:rPr>
              <w:t>tha</w:t>
            </w:r>
            <w:r>
              <w:rPr>
                <w:rFonts w:eastAsia="MS Mincho" w:hint="eastAsia"/>
                <w:lang w:eastAsia="ja-JP"/>
              </w:rPr>
              <w:t>t the configuration</w:t>
            </w:r>
            <w:r w:rsidR="00F503FF"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 w:hint="eastAsia"/>
                <w:lang w:eastAsia="ja-JP"/>
              </w:rPr>
              <w:t xml:space="preserve"> such as Figure2 and </w:t>
            </w:r>
            <w:r w:rsidR="0011331A">
              <w:rPr>
                <w:rFonts w:eastAsia="MS Mincho" w:hint="eastAsia"/>
                <w:lang w:eastAsia="ja-JP"/>
              </w:rPr>
              <w:t>4</w:t>
            </w:r>
            <w:r>
              <w:rPr>
                <w:rFonts w:eastAsia="MS Mincho" w:hint="eastAsia"/>
                <w:lang w:eastAsia="ja-JP"/>
              </w:rPr>
              <w:t xml:space="preserve"> can be avoided by NW configuration. Thus, we prefer to capture some guid</w:t>
            </w:r>
            <w:r w:rsidR="00C82E90">
              <w:rPr>
                <w:rFonts w:eastAsia="MS Mincho" w:hint="eastAsia"/>
                <w:lang w:eastAsia="ja-JP"/>
              </w:rPr>
              <w:t>e</w:t>
            </w:r>
            <w:r>
              <w:rPr>
                <w:rFonts w:eastAsia="MS Mincho" w:hint="eastAsia"/>
                <w:lang w:eastAsia="ja-JP"/>
              </w:rPr>
              <w:t xml:space="preserve">line </w:t>
            </w:r>
            <w:r w:rsidR="00090CA9">
              <w:rPr>
                <w:rFonts w:eastAsia="MS Mincho" w:hint="eastAsia"/>
                <w:lang w:eastAsia="ja-JP"/>
              </w:rPr>
              <w:t xml:space="preserve">for eNB in either </w:t>
            </w:r>
            <w:r w:rsidR="00672306">
              <w:rPr>
                <w:rFonts w:eastAsia="MS Mincho" w:hint="eastAsia"/>
                <w:lang w:eastAsia="ja-JP"/>
              </w:rPr>
              <w:t xml:space="preserve">MAC or RRC. </w:t>
            </w:r>
          </w:p>
        </w:tc>
      </w:tr>
      <w:tr w:rsidR="00087112" w:rsidRPr="000C0751" w:rsidTr="007124FE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087112" w:rsidRDefault="00087112" w:rsidP="006F1092">
            <w:pPr>
              <w:spacing w:after="0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Intel</w:t>
            </w:r>
          </w:p>
        </w:tc>
        <w:tc>
          <w:tcPr>
            <w:tcW w:w="6249" w:type="dxa"/>
            <w:shd w:val="clear" w:color="auto" w:fill="auto"/>
          </w:tcPr>
          <w:p w:rsidR="00087112" w:rsidRDefault="00087112" w:rsidP="0011331A">
            <w:pPr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We are ok with the changes on the CR and the ones suggested by LG. As it is mentioned above, we also suggest adding the following note: </w:t>
            </w:r>
            <w:r w:rsidRPr="0023418E">
              <w:t>"If firstPreamble and lastPreamble are configured, the eNB should ensure that numberOfRA-Preambles is no less than the maximum value of lastPreamble for each enhanced coverage level"</w:t>
            </w:r>
          </w:p>
        </w:tc>
      </w:tr>
      <w:tr w:rsidR="007845CD" w:rsidRPr="000C0751" w:rsidTr="007124FE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7845CD" w:rsidRDefault="007845CD" w:rsidP="006F1092">
            <w:pPr>
              <w:spacing w:after="0"/>
              <w:rPr>
                <w:rFonts w:eastAsia="MS Mincho"/>
                <w:b/>
                <w:bCs/>
                <w:lang w:eastAsia="ja-JP"/>
              </w:rPr>
            </w:pPr>
            <w:r w:rsidRPr="004277E6">
              <w:rPr>
                <w:rFonts w:hint="eastAsia"/>
                <w:b/>
                <w:bCs/>
              </w:rPr>
              <w:t>Huawei</w:t>
            </w:r>
            <w:r>
              <w:rPr>
                <w:rFonts w:hint="eastAsia"/>
                <w:b/>
                <w:bCs/>
              </w:rPr>
              <w:t>, HiSilicon</w:t>
            </w:r>
          </w:p>
        </w:tc>
        <w:tc>
          <w:tcPr>
            <w:tcW w:w="6249" w:type="dxa"/>
            <w:shd w:val="clear" w:color="auto" w:fill="auto"/>
          </w:tcPr>
          <w:p w:rsidR="007845CD" w:rsidRDefault="007845CD" w:rsidP="0011331A">
            <w:pPr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C336F0">
              <w:rPr>
                <w:rFonts w:eastAsia="MS Mincho" w:hint="eastAsia"/>
                <w:lang w:eastAsia="ja-JP"/>
              </w:rPr>
              <w:t>We agree with the MAC CR for Alt2</w:t>
            </w:r>
            <w:r w:rsidRPr="00C336F0">
              <w:rPr>
                <w:rFonts w:eastAsia="MS Mincho"/>
                <w:lang w:eastAsia="ja-JP"/>
              </w:rPr>
              <w:t>.</w:t>
            </w:r>
          </w:p>
        </w:tc>
      </w:tr>
      <w:tr w:rsidR="00CB247D" w:rsidRPr="000C0751" w:rsidTr="007124FE">
        <w:trPr>
          <w:trHeight w:val="344"/>
          <w:jc w:val="center"/>
        </w:trPr>
        <w:tc>
          <w:tcPr>
            <w:tcW w:w="1872" w:type="dxa"/>
            <w:shd w:val="clear" w:color="auto" w:fill="E0E0E0"/>
            <w:noWrap/>
          </w:tcPr>
          <w:p w:rsidR="00CB247D" w:rsidRPr="004277E6" w:rsidRDefault="00CB247D" w:rsidP="006F1092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Qualcomm</w:t>
            </w:r>
          </w:p>
        </w:tc>
        <w:tc>
          <w:tcPr>
            <w:tcW w:w="6249" w:type="dxa"/>
            <w:shd w:val="clear" w:color="auto" w:fill="auto"/>
          </w:tcPr>
          <w:p w:rsidR="00CB247D" w:rsidRPr="00C336F0" w:rsidRDefault="00CB247D" w:rsidP="0011331A">
            <w:pPr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Don’t support alternative 2.</w:t>
            </w:r>
          </w:p>
        </w:tc>
      </w:tr>
    </w:tbl>
    <w:p w:rsidR="006801FF" w:rsidRDefault="006801FF" w:rsidP="006801FF"/>
    <w:p w:rsidR="00E04C12" w:rsidRPr="00CE0424" w:rsidRDefault="00E04C12" w:rsidP="00CE0424">
      <w:pPr>
        <w:pStyle w:val="BodyText"/>
      </w:pPr>
    </w:p>
    <w:p w:rsidR="00BA10F7" w:rsidRDefault="00BA10F7" w:rsidP="00BA10F7">
      <w:pPr>
        <w:pStyle w:val="Heading1"/>
      </w:pPr>
      <w:r>
        <w:lastRenderedPageBreak/>
        <w:t>Summary of email discussion</w:t>
      </w:r>
    </w:p>
    <w:p w:rsidR="00AF3488" w:rsidRDefault="00815E0F" w:rsidP="00AF3488">
      <w:r>
        <w:t xml:space="preserve">The following </w:t>
      </w:r>
      <w:r w:rsidR="0039358F">
        <w:t>seven (7</w:t>
      </w:r>
      <w:r w:rsidR="00AF3488">
        <w:t xml:space="preserve">) companies participated in the email discussion: </w:t>
      </w:r>
      <w:r w:rsidR="00AF3488" w:rsidRPr="00AF3488">
        <w:rPr>
          <w:b/>
        </w:rPr>
        <w:t>Ericsson</w:t>
      </w:r>
      <w:r w:rsidR="00AF3488" w:rsidRPr="00815E0F">
        <w:t>,</w:t>
      </w:r>
      <w:r w:rsidR="00AF3488">
        <w:t xml:space="preserve"> </w:t>
      </w:r>
      <w:r w:rsidR="00AF3488" w:rsidRPr="00AF3488">
        <w:rPr>
          <w:b/>
        </w:rPr>
        <w:t>LG</w:t>
      </w:r>
      <w:r w:rsidR="00A204C7">
        <w:rPr>
          <w:b/>
        </w:rPr>
        <w:t>, ZTE,</w:t>
      </w:r>
      <w:r w:rsidR="00AF3488">
        <w:t xml:space="preserve"> </w:t>
      </w:r>
      <w:r w:rsidR="00AF3488" w:rsidRPr="00AF3488">
        <w:rPr>
          <w:b/>
        </w:rPr>
        <w:t>NTT</w:t>
      </w:r>
      <w:r w:rsidR="00AF3488">
        <w:t xml:space="preserve"> </w:t>
      </w:r>
      <w:proofErr w:type="gramStart"/>
      <w:r w:rsidR="00AF3488" w:rsidRPr="00AF3488">
        <w:rPr>
          <w:b/>
        </w:rPr>
        <w:t>DOCOMO</w:t>
      </w:r>
      <w:r>
        <w:rPr>
          <w:b/>
        </w:rPr>
        <w:t xml:space="preserve">, </w:t>
      </w:r>
      <w:r w:rsidR="00A204C7">
        <w:rPr>
          <w:b/>
        </w:rPr>
        <w:t xml:space="preserve"> Intel</w:t>
      </w:r>
      <w:proofErr w:type="gramEnd"/>
      <w:r w:rsidR="0039358F">
        <w:t xml:space="preserve">, </w:t>
      </w:r>
      <w:r w:rsidRPr="004277E6">
        <w:rPr>
          <w:rFonts w:hint="eastAsia"/>
          <w:b/>
          <w:bCs/>
        </w:rPr>
        <w:t>Huawei</w:t>
      </w:r>
      <w:r>
        <w:rPr>
          <w:rFonts w:hint="eastAsia"/>
          <w:b/>
          <w:bCs/>
        </w:rPr>
        <w:t>/</w:t>
      </w:r>
      <w:proofErr w:type="spellStart"/>
      <w:r>
        <w:rPr>
          <w:rFonts w:hint="eastAsia"/>
          <w:b/>
          <w:bCs/>
        </w:rPr>
        <w:t>HiSilicon</w:t>
      </w:r>
      <w:proofErr w:type="spellEnd"/>
      <w:r w:rsidR="0039358F" w:rsidRPr="0039358F">
        <w:rPr>
          <w:bCs/>
        </w:rPr>
        <w:t xml:space="preserve">, and </w:t>
      </w:r>
      <w:r w:rsidR="0039358F">
        <w:rPr>
          <w:b/>
          <w:bCs/>
        </w:rPr>
        <w:t>Qualcomm</w:t>
      </w:r>
      <w:r w:rsidR="00AF3488" w:rsidRPr="00AF3488">
        <w:rPr>
          <w:i/>
        </w:rPr>
        <w:t>.</w:t>
      </w:r>
    </w:p>
    <w:p w:rsidR="00CF6139" w:rsidRDefault="00AF3488" w:rsidP="00A87405">
      <w:r>
        <w:t xml:space="preserve">Regarding whether CE-level </w:t>
      </w:r>
      <w:proofErr w:type="gramStart"/>
      <w:r>
        <w:t>specific preamble</w:t>
      </w:r>
      <w:proofErr w:type="gramEnd"/>
      <w:r>
        <w:t xml:space="preserve"> ranges can be used at the same time</w:t>
      </w:r>
      <w:r w:rsidR="00CF6139">
        <w:t xml:space="preserve"> as preamble group A and B, </w:t>
      </w:r>
      <w:r w:rsidR="00C43821">
        <w:t>two companies</w:t>
      </w:r>
      <w:r w:rsidR="00CF6139">
        <w:t xml:space="preserve"> (LG</w:t>
      </w:r>
      <w:r w:rsidR="00C43821">
        <w:t xml:space="preserve"> and Qualcomm) prefer</w:t>
      </w:r>
      <w:r w:rsidR="00CF6139">
        <w:t xml:space="preserve"> alternative 1 and </w:t>
      </w:r>
      <w:r w:rsidR="00815E0F">
        <w:t>four</w:t>
      </w:r>
      <w:r w:rsidR="00A204C7">
        <w:t xml:space="preserve"> companies (Ericsson, </w:t>
      </w:r>
      <w:r w:rsidR="00CF6139">
        <w:t xml:space="preserve">NTT </w:t>
      </w:r>
      <w:r w:rsidR="00CF6139" w:rsidRPr="00CF6139">
        <w:t>DOCOMO</w:t>
      </w:r>
      <w:r w:rsidR="00A204C7">
        <w:t>, Intel</w:t>
      </w:r>
      <w:r w:rsidR="00815E0F">
        <w:t>, Huawei/HiSilicon</w:t>
      </w:r>
      <w:r w:rsidR="00C43821">
        <w:t>) prefer</w:t>
      </w:r>
      <w:r w:rsidR="00CF6139">
        <w:t xml:space="preserve"> alternative 2. One company (ZTE) proposed a third </w:t>
      </w:r>
      <w:r w:rsidR="00227D82">
        <w:t>alternative</w:t>
      </w:r>
      <w:r w:rsidR="00CF6139">
        <w:t xml:space="preserve"> where the preamble group A and B are defined in different way than today.</w:t>
      </w:r>
    </w:p>
    <w:p w:rsidR="00FA3814" w:rsidRDefault="00815E0F" w:rsidP="00A87405">
      <w:r>
        <w:t>It is proposed to go forward with the majority opinion, i.e. alternative 2.</w:t>
      </w:r>
    </w:p>
    <w:p w:rsidR="00227D82" w:rsidRDefault="00001757" w:rsidP="007B3DDD">
      <w:pPr>
        <w:pStyle w:val="Proposal"/>
        <w:tabs>
          <w:tab w:val="clear" w:pos="1701"/>
          <w:tab w:val="left" w:pos="2552"/>
          <w:tab w:val="num" w:pos="3828"/>
        </w:tabs>
      </w:pPr>
      <w:bookmarkStart w:id="4" w:name="_Toc481155082"/>
      <w:bookmarkStart w:id="5" w:name="_Toc481485137"/>
      <w:r>
        <w:t xml:space="preserve">CE-level specific preamble ranges </w:t>
      </w:r>
      <w:r w:rsidR="00815E0F">
        <w:t>are not used</w:t>
      </w:r>
      <w:r>
        <w:t xml:space="preserve"> </w:t>
      </w:r>
      <w:r w:rsidR="00815E0F">
        <w:t xml:space="preserve">at the same time as </w:t>
      </w:r>
      <w:r>
        <w:t>preamble group A and B</w:t>
      </w:r>
      <w:r w:rsidR="007B3DDD">
        <w:t xml:space="preserve"> (</w:t>
      </w:r>
      <w:r w:rsidR="00815E0F">
        <w:t>i.e.</w:t>
      </w:r>
      <w:r w:rsidR="007B3DDD">
        <w:t xml:space="preserve"> Alt. 2)</w:t>
      </w:r>
      <w:r w:rsidR="000306FE">
        <w:t>.</w:t>
      </w:r>
      <w:bookmarkStart w:id="6" w:name="_GoBack"/>
      <w:bookmarkEnd w:id="4"/>
      <w:bookmarkEnd w:id="5"/>
      <w:bookmarkEnd w:id="6"/>
    </w:p>
    <w:p w:rsidR="001A47FD" w:rsidRDefault="00227D82" w:rsidP="00227D82">
      <w:r>
        <w:t>For the CR implementing alternative 1 one company (LG) commented that the param</w:t>
      </w:r>
      <w:r w:rsidR="001C0DE0">
        <w:t>e</w:t>
      </w:r>
      <w:r>
        <w:t xml:space="preserve">ters </w:t>
      </w:r>
      <w:r w:rsidRPr="007A1462">
        <w:rPr>
          <w:i/>
        </w:rPr>
        <w:t>firstPreamble</w:t>
      </w:r>
      <w:r>
        <w:t xml:space="preserve"> and </w:t>
      </w:r>
      <w:r w:rsidRPr="00227D82">
        <w:rPr>
          <w:i/>
        </w:rPr>
        <w:t>lastPreamble</w:t>
      </w:r>
      <w:r>
        <w:t xml:space="preserve"> defining the CE level specific preamble range are optional in RRC</w:t>
      </w:r>
      <w:r w:rsidR="001C0DE0">
        <w:t xml:space="preserve"> and might hence not always be available. This is however not true: </w:t>
      </w:r>
      <w:r w:rsidR="001C0DE0" w:rsidRPr="001C0DE0">
        <w:rPr>
          <w:i/>
        </w:rPr>
        <w:t xml:space="preserve">firstPreamble </w:t>
      </w:r>
      <w:r w:rsidR="001C0DE0" w:rsidRPr="001C0DE0">
        <w:t>and</w:t>
      </w:r>
      <w:r w:rsidR="001C0DE0" w:rsidRPr="001C0DE0">
        <w:rPr>
          <w:i/>
        </w:rPr>
        <w:t xml:space="preserve"> lastPreamble </w:t>
      </w:r>
      <w:r w:rsidR="001C0DE0" w:rsidRPr="001C0DE0">
        <w:t xml:space="preserve">must be </w:t>
      </w:r>
      <w:r w:rsidR="001C0DE0">
        <w:t xml:space="preserve">provided for each </w:t>
      </w:r>
      <w:r w:rsidR="00BD2FBC">
        <w:t>configured CE level according to the RRC specification</w:t>
      </w:r>
      <w:r w:rsidR="001C0DE0">
        <w:t xml:space="preserve">. The same company also </w:t>
      </w:r>
      <w:r w:rsidR="001A47FD">
        <w:t>suggested</w:t>
      </w:r>
      <w:r w:rsidR="001C0DE0">
        <w:t xml:space="preserve"> to remove the change related to the </w:t>
      </w:r>
      <w:r w:rsidR="00FD6A82" w:rsidRPr="00FD6A82">
        <w:rPr>
          <w:i/>
        </w:rPr>
        <w:t>mac-</w:t>
      </w:r>
      <w:r w:rsidR="001C0DE0" w:rsidRPr="00A9420E">
        <w:rPr>
          <w:rFonts w:eastAsia="Malgun Gothic" w:hint="eastAsia"/>
          <w:bCs/>
          <w:i/>
          <w:lang w:eastAsia="ko-KR"/>
        </w:rPr>
        <w:t>ContentionResolutionTimer</w:t>
      </w:r>
      <w:r w:rsidR="001C0DE0">
        <w:t xml:space="preserve"> as this change </w:t>
      </w:r>
      <w:r w:rsidR="002A2DE7">
        <w:t xml:space="preserve">is not within the scope of the </w:t>
      </w:r>
      <w:r w:rsidR="001C0DE0">
        <w:t>email discussion.</w:t>
      </w:r>
      <w:r w:rsidR="001A47FD">
        <w:t xml:space="preserve"> </w:t>
      </w:r>
      <w:r w:rsidR="00A204C7">
        <w:t xml:space="preserve">Similar comments was also made </w:t>
      </w:r>
      <w:r w:rsidR="007B3DDD">
        <w:t xml:space="preserve">by the same company </w:t>
      </w:r>
      <w:r w:rsidR="00A204C7">
        <w:t xml:space="preserve">for the CR implementing alternative 2. </w:t>
      </w:r>
      <w:r w:rsidR="001A47FD">
        <w:t>One company (ZTE) suggested more extensive changes to show how their third alternative can be implemented.</w:t>
      </w:r>
    </w:p>
    <w:p w:rsidR="002A2DE7" w:rsidRDefault="001A47FD" w:rsidP="00227D82">
      <w:r>
        <w:t xml:space="preserve">For the CR implementing the second alternative, one company (NTT DOCOMO) commented that they wanted to capture some guideline in RRC or MAC on how </w:t>
      </w:r>
      <w:r w:rsidRPr="00007E19">
        <w:rPr>
          <w:i/>
        </w:rPr>
        <w:t>firstPreamble</w:t>
      </w:r>
      <w:r w:rsidRPr="00007E19">
        <w:rPr>
          <w:rFonts w:eastAsia="Malgun Gothic" w:hint="eastAsia"/>
          <w:i/>
          <w:lang w:eastAsia="ko-KR"/>
        </w:rPr>
        <w:t xml:space="preserve"> </w:t>
      </w:r>
      <w:r w:rsidRPr="00007E19">
        <w:rPr>
          <w:rFonts w:eastAsia="Malgun Gothic" w:hint="eastAsia"/>
          <w:lang w:eastAsia="ko-KR"/>
        </w:rPr>
        <w:t>and</w:t>
      </w:r>
      <w:r w:rsidRPr="00007E19">
        <w:rPr>
          <w:rFonts w:eastAsia="Malgun Gothic" w:hint="eastAsia"/>
          <w:i/>
          <w:lang w:eastAsia="ko-KR"/>
        </w:rPr>
        <w:t xml:space="preserve"> </w:t>
      </w:r>
      <w:r w:rsidRPr="00007E19">
        <w:rPr>
          <w:i/>
        </w:rPr>
        <w:t>lastPreamble</w:t>
      </w:r>
      <w:r>
        <w:rPr>
          <w:i/>
        </w:rPr>
        <w:t xml:space="preserve"> </w:t>
      </w:r>
      <w:r>
        <w:t>should be configured.</w:t>
      </w:r>
      <w:r w:rsidR="00087112">
        <w:t xml:space="preserve"> One company (Intel) suggested to clarify </w:t>
      </w:r>
      <w:r w:rsidR="00A204C7">
        <w:t>in a note the relation between</w:t>
      </w:r>
      <w:r w:rsidR="00087112">
        <w:t xml:space="preserve"> </w:t>
      </w:r>
      <w:r w:rsidR="00087112" w:rsidRPr="00A204C7">
        <w:rPr>
          <w:i/>
        </w:rPr>
        <w:t>numberOfRA-Preambles</w:t>
      </w:r>
      <w:r w:rsidR="00087112">
        <w:t xml:space="preserve"> </w:t>
      </w:r>
      <w:r w:rsidR="00A204C7">
        <w:t xml:space="preserve">and </w:t>
      </w:r>
      <w:r w:rsidR="00A204C7" w:rsidRPr="00A204C7">
        <w:rPr>
          <w:i/>
        </w:rPr>
        <w:t>lastPreamble</w:t>
      </w:r>
    </w:p>
    <w:p w:rsidR="00795819" w:rsidRPr="00CE0424" w:rsidRDefault="001A47FD" w:rsidP="006E062C">
      <w:r>
        <w:t xml:space="preserve">It is proposed </w:t>
      </w:r>
      <w:r w:rsidR="00541406">
        <w:t xml:space="preserve">to use the proposed CRs as baseline and </w:t>
      </w:r>
      <w:r w:rsidR="009050C4">
        <w:t>after RAN2 has agreed on which alternative to adopt changes to the CR implementing that alternative can be further discussed.</w:t>
      </w:r>
    </w:p>
    <w:p w:rsidR="00BA10F7" w:rsidRDefault="00BA10F7" w:rsidP="00BA10F7">
      <w:pPr>
        <w:pStyle w:val="Heading1"/>
      </w:pPr>
      <w:r>
        <w:t>Proposed way forward</w:t>
      </w:r>
    </w:p>
    <w:p w:rsidR="007B3DDD" w:rsidRDefault="00B246AC" w:rsidP="007B3DDD">
      <w:r>
        <w:t>Based on the summary in the previous section, the following is proposed:</w:t>
      </w:r>
      <w:r w:rsidR="00C361D4">
        <w:rPr>
          <w:b/>
          <w:bCs/>
        </w:rPr>
        <w:fldChar w:fldCharType="begin"/>
      </w:r>
      <w:r w:rsidR="00C361D4">
        <w:rPr>
          <w:b/>
          <w:bCs/>
        </w:rPr>
        <w:instrText xml:space="preserve"> TOC \f \n \p " " \t "Proposal;1" </w:instrText>
      </w:r>
      <w:r w:rsidR="00C361D4">
        <w:rPr>
          <w:b/>
          <w:bCs/>
        </w:rPr>
        <w:fldChar w:fldCharType="separate"/>
      </w:r>
    </w:p>
    <w:p w:rsidR="007B3DDD" w:rsidRPr="007B3DDD" w:rsidRDefault="007B3DDD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1</w:t>
      </w:r>
      <w:r w:rsidRPr="007B3DDD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CE-level specific preamble ranges are not used at the same time as preamble group A and B (i.e. Alt. 2).</w:t>
      </w:r>
    </w:p>
    <w:p w:rsidR="002C482B" w:rsidRPr="002C482B" w:rsidRDefault="00C361D4" w:rsidP="00C361D4">
      <w:r>
        <w:rPr>
          <w:b/>
          <w:bCs/>
        </w:rPr>
        <w:fldChar w:fldCharType="end"/>
      </w:r>
    </w:p>
    <w:p w:rsidR="00F507D1" w:rsidRPr="00CE0424" w:rsidRDefault="00F507D1" w:rsidP="0073092B">
      <w:pPr>
        <w:pStyle w:val="Heading1"/>
      </w:pPr>
      <w:r w:rsidRPr="00CE0424">
        <w:t>References</w:t>
      </w:r>
    </w:p>
    <w:p w:rsidR="00D92176" w:rsidRPr="000D7EC9" w:rsidRDefault="00D92176" w:rsidP="00BD2FBC">
      <w:pPr>
        <w:pStyle w:val="Reference"/>
      </w:pPr>
      <w:bookmarkStart w:id="7" w:name="_Ref174151459"/>
      <w:bookmarkStart w:id="8" w:name="_Ref189809556"/>
      <w:r w:rsidRPr="000D7EC9">
        <w:t>36321_CR</w:t>
      </w:r>
      <w:r>
        <w:t>1069</w:t>
      </w:r>
      <w:r w:rsidRPr="000D7EC9">
        <w:t>_(Rel-13)_</w:t>
      </w:r>
      <w:r w:rsidR="00BD2FBC">
        <w:t>R2-1704185</w:t>
      </w:r>
      <w:r w:rsidR="00BB1060">
        <w:t xml:space="preserve"> </w:t>
      </w:r>
      <w:r w:rsidRPr="000D7EC9">
        <w:t xml:space="preserve">- </w:t>
      </w:r>
      <w:r>
        <w:t>Configuration of preamble groups for CE levels and preamble groups A/B – Alt1</w:t>
      </w:r>
      <w:r w:rsidRPr="000D7EC9">
        <w:t xml:space="preserve">, Ericsson, </w:t>
      </w:r>
      <w:r w:rsidR="00BD2FBC">
        <w:t>RAN2#98</w:t>
      </w:r>
      <w:r w:rsidRPr="000D7EC9">
        <w:t xml:space="preserve">, </w:t>
      </w:r>
      <w:bookmarkEnd w:id="7"/>
      <w:bookmarkEnd w:id="8"/>
      <w:r w:rsidR="00BD2FBC" w:rsidRPr="00BD2FBC">
        <w:t>15th – 19th May 2017</w:t>
      </w:r>
    </w:p>
    <w:p w:rsidR="00D92176" w:rsidRPr="000D7EC9" w:rsidRDefault="00D92176" w:rsidP="00D92176">
      <w:pPr>
        <w:pStyle w:val="Reference"/>
      </w:pPr>
      <w:r w:rsidRPr="000D7EC9">
        <w:t>36321</w:t>
      </w:r>
      <w:r>
        <w:t>_CR1070</w:t>
      </w:r>
      <w:r w:rsidRPr="000D7EC9">
        <w:t>_(Rel-14)_</w:t>
      </w:r>
      <w:r w:rsidR="00BB1060">
        <w:t xml:space="preserve">R2-1704186 </w:t>
      </w:r>
      <w:r w:rsidRPr="000D7EC9">
        <w:t xml:space="preserve">- </w:t>
      </w:r>
      <w:r>
        <w:t>Configuration of preamble groups for CE levels and preamble groups A/B – Alt1</w:t>
      </w:r>
      <w:r w:rsidRPr="000D7EC9">
        <w:t xml:space="preserve">, Ericsson, </w:t>
      </w:r>
      <w:r w:rsidR="00BD2FBC">
        <w:t>RAN2#98</w:t>
      </w:r>
      <w:r w:rsidR="00BD2FBC" w:rsidRPr="000D7EC9">
        <w:t xml:space="preserve">, </w:t>
      </w:r>
      <w:r w:rsidR="00BD2FBC" w:rsidRPr="00BD2FBC">
        <w:t>15th – 19th May 2017</w:t>
      </w:r>
    </w:p>
    <w:p w:rsidR="00D92176" w:rsidRPr="000D7EC9" w:rsidRDefault="00D92176" w:rsidP="00D92176">
      <w:pPr>
        <w:pStyle w:val="Reference"/>
      </w:pPr>
      <w:r w:rsidRPr="000D7EC9">
        <w:t>3</w:t>
      </w:r>
      <w:r>
        <w:t>6321_CR1071_(Rel-13)_R2-1704187</w:t>
      </w:r>
      <w:r w:rsidRPr="000D7EC9">
        <w:t xml:space="preserve"> - </w:t>
      </w:r>
      <w:r>
        <w:t>Configuration of preamble groups for CE levels and preamble groups A/B – Alt2</w:t>
      </w:r>
      <w:r w:rsidRPr="000D7EC9">
        <w:t xml:space="preserve">, Ericsson, </w:t>
      </w:r>
      <w:r w:rsidR="00BD2FBC">
        <w:t>RAN2#98</w:t>
      </w:r>
      <w:r w:rsidR="00BD2FBC" w:rsidRPr="000D7EC9">
        <w:t xml:space="preserve">, </w:t>
      </w:r>
      <w:r w:rsidR="00BD2FBC" w:rsidRPr="00BD2FBC">
        <w:t>15th – 19th May 2017</w:t>
      </w:r>
    </w:p>
    <w:p w:rsidR="00515448" w:rsidRPr="00CE0424" w:rsidRDefault="00D92176" w:rsidP="00D92176">
      <w:pPr>
        <w:pStyle w:val="Reference"/>
      </w:pPr>
      <w:r w:rsidRPr="000D7EC9">
        <w:t>3</w:t>
      </w:r>
      <w:r>
        <w:t>6321_CR1072_(Rel-14)_R2-1704188 -</w:t>
      </w:r>
      <w:r w:rsidRPr="000D7EC9">
        <w:t xml:space="preserve"> </w:t>
      </w:r>
      <w:r>
        <w:t>Configuration of preamble groups for CE levels and preamble groups A/B – Alt2</w:t>
      </w:r>
      <w:r w:rsidRPr="000D7EC9">
        <w:t xml:space="preserve">, Ericsson, </w:t>
      </w:r>
      <w:r w:rsidR="00BD2FBC">
        <w:t>RAN2#98</w:t>
      </w:r>
      <w:r w:rsidR="00BD2FBC" w:rsidRPr="000D7EC9">
        <w:t xml:space="preserve">, </w:t>
      </w:r>
      <w:r w:rsidR="00BD2FBC" w:rsidRPr="00BD2FBC">
        <w:t>15th – 19th May 2017</w:t>
      </w:r>
    </w:p>
    <w:sectPr w:rsidR="00515448" w:rsidRPr="00CE0424" w:rsidSect="00E67B76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AC0" w:rsidRDefault="00F87AC0">
      <w:r>
        <w:separator/>
      </w:r>
    </w:p>
  </w:endnote>
  <w:endnote w:type="continuationSeparator" w:id="0">
    <w:p w:rsidR="00F87AC0" w:rsidRDefault="00F8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82C" w:rsidRDefault="00CA482C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F164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F1649">
      <w:rPr>
        <w:rStyle w:val="PageNumber"/>
      </w:rPr>
      <w:fldChar w:fldCharType="separate"/>
    </w:r>
    <w:r w:rsidR="00350E99">
      <w:rPr>
        <w:rStyle w:val="PageNumber"/>
      </w:rPr>
      <w:t>8</w:t>
    </w:r>
    <w:r w:rsidR="001F1649">
      <w:rPr>
        <w:rStyle w:val="PageNumber"/>
      </w:rPr>
      <w:fldChar w:fldCharType="end"/>
    </w:r>
    <w:r>
      <w:rPr>
        <w:rStyle w:val="PageNumber"/>
      </w:rPr>
      <w:t>/</w:t>
    </w:r>
    <w:r w:rsidR="001F164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F1649">
      <w:rPr>
        <w:rStyle w:val="PageNumber"/>
      </w:rPr>
      <w:fldChar w:fldCharType="separate"/>
    </w:r>
    <w:r w:rsidR="00350E99">
      <w:rPr>
        <w:rStyle w:val="PageNumber"/>
      </w:rPr>
      <w:t>10</w:t>
    </w:r>
    <w:r w:rsidR="001F1649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AC0" w:rsidRDefault="00F87AC0">
      <w:r>
        <w:separator/>
      </w:r>
    </w:p>
  </w:footnote>
  <w:footnote w:type="continuationSeparator" w:id="0">
    <w:p w:rsidR="00F87AC0" w:rsidRDefault="00F87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82C" w:rsidRDefault="00CA482C">
    <w:r>
      <w:t xml:space="preserve">Page </w:t>
    </w:r>
    <w:r w:rsidR="001F1649">
      <w:fldChar w:fldCharType="begin"/>
    </w:r>
    <w:r>
      <w:instrText>PAGE</w:instrText>
    </w:r>
    <w:r w:rsidR="001F1649">
      <w:fldChar w:fldCharType="separate"/>
    </w:r>
    <w:r>
      <w:t>4</w:t>
    </w:r>
    <w:r w:rsidR="001F164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D4131"/>
    <w:multiLevelType w:val="hybridMultilevel"/>
    <w:tmpl w:val="6F768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AB3547"/>
    <w:multiLevelType w:val="hybridMultilevel"/>
    <w:tmpl w:val="8978451A"/>
    <w:lvl w:ilvl="0" w:tplc="273A1DEE">
      <w:start w:val="1"/>
      <w:numFmt w:val="lowerLetter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BF67BD2"/>
    <w:multiLevelType w:val="hybridMultilevel"/>
    <w:tmpl w:val="9E7EB102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E48F1"/>
    <w:multiLevelType w:val="hybridMultilevel"/>
    <w:tmpl w:val="EEE6A3F2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F42A76"/>
    <w:multiLevelType w:val="hybridMultilevel"/>
    <w:tmpl w:val="4CE66358"/>
    <w:lvl w:ilvl="0" w:tplc="041D0017">
      <w:start w:val="1"/>
      <w:numFmt w:val="lowerLetter"/>
      <w:lvlText w:val="%1)"/>
      <w:lvlJc w:val="left"/>
      <w:pPr>
        <w:ind w:left="1560" w:hanging="360"/>
      </w:pPr>
    </w:lvl>
    <w:lvl w:ilvl="1" w:tplc="041D0019" w:tentative="1">
      <w:start w:val="1"/>
      <w:numFmt w:val="lowerLetter"/>
      <w:lvlText w:val="%2."/>
      <w:lvlJc w:val="left"/>
      <w:pPr>
        <w:ind w:left="2280" w:hanging="360"/>
      </w:pPr>
    </w:lvl>
    <w:lvl w:ilvl="2" w:tplc="041D001B" w:tentative="1">
      <w:start w:val="1"/>
      <w:numFmt w:val="lowerRoman"/>
      <w:lvlText w:val="%3."/>
      <w:lvlJc w:val="right"/>
      <w:pPr>
        <w:ind w:left="3000" w:hanging="180"/>
      </w:pPr>
    </w:lvl>
    <w:lvl w:ilvl="3" w:tplc="041D000F" w:tentative="1">
      <w:start w:val="1"/>
      <w:numFmt w:val="decimal"/>
      <w:lvlText w:val="%4."/>
      <w:lvlJc w:val="left"/>
      <w:pPr>
        <w:ind w:left="3720" w:hanging="360"/>
      </w:pPr>
    </w:lvl>
    <w:lvl w:ilvl="4" w:tplc="041D0019" w:tentative="1">
      <w:start w:val="1"/>
      <w:numFmt w:val="lowerLetter"/>
      <w:lvlText w:val="%5."/>
      <w:lvlJc w:val="left"/>
      <w:pPr>
        <w:ind w:left="4440" w:hanging="360"/>
      </w:pPr>
    </w:lvl>
    <w:lvl w:ilvl="5" w:tplc="041D001B" w:tentative="1">
      <w:start w:val="1"/>
      <w:numFmt w:val="lowerRoman"/>
      <w:lvlText w:val="%6."/>
      <w:lvlJc w:val="right"/>
      <w:pPr>
        <w:ind w:left="5160" w:hanging="180"/>
      </w:pPr>
    </w:lvl>
    <w:lvl w:ilvl="6" w:tplc="041D000F" w:tentative="1">
      <w:start w:val="1"/>
      <w:numFmt w:val="decimal"/>
      <w:lvlText w:val="%7."/>
      <w:lvlJc w:val="left"/>
      <w:pPr>
        <w:ind w:left="5880" w:hanging="360"/>
      </w:pPr>
    </w:lvl>
    <w:lvl w:ilvl="7" w:tplc="041D0019" w:tentative="1">
      <w:start w:val="1"/>
      <w:numFmt w:val="lowerLetter"/>
      <w:lvlText w:val="%8."/>
      <w:lvlJc w:val="left"/>
      <w:pPr>
        <w:ind w:left="6600" w:hanging="360"/>
      </w:pPr>
    </w:lvl>
    <w:lvl w:ilvl="8" w:tplc="041D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1DF57D5E"/>
    <w:multiLevelType w:val="hybridMultilevel"/>
    <w:tmpl w:val="BD061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F85BB6"/>
    <w:multiLevelType w:val="hybridMultilevel"/>
    <w:tmpl w:val="30E66178"/>
    <w:lvl w:ilvl="0" w:tplc="27F8DA4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869"/>
        </w:tabs>
        <w:ind w:left="386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05"/>
        </w:tabs>
        <w:ind w:left="40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25"/>
        </w:tabs>
        <w:ind w:left="4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45"/>
        </w:tabs>
        <w:ind w:left="5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65"/>
        </w:tabs>
        <w:ind w:left="6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5"/>
        </w:tabs>
        <w:ind w:left="6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605"/>
        </w:tabs>
        <w:ind w:left="7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325"/>
        </w:tabs>
        <w:ind w:left="8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45"/>
        </w:tabs>
        <w:ind w:left="9045" w:hanging="180"/>
      </w:pPr>
    </w:lvl>
  </w:abstractNum>
  <w:abstractNum w:abstractNumId="16" w15:restartNumberingAfterBreak="0">
    <w:nsid w:val="3B6B43C1"/>
    <w:multiLevelType w:val="hybridMultilevel"/>
    <w:tmpl w:val="984068B0"/>
    <w:lvl w:ilvl="0" w:tplc="20BAEE40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E2095B"/>
    <w:multiLevelType w:val="hybridMultilevel"/>
    <w:tmpl w:val="D66430D0"/>
    <w:lvl w:ilvl="0" w:tplc="3C421368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C3C13C8"/>
    <w:multiLevelType w:val="hybridMultilevel"/>
    <w:tmpl w:val="2084C8F8"/>
    <w:lvl w:ilvl="0" w:tplc="4F0CFEAA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53044"/>
    <w:multiLevelType w:val="hybridMultilevel"/>
    <w:tmpl w:val="4CE66358"/>
    <w:lvl w:ilvl="0" w:tplc="041D0017">
      <w:start w:val="1"/>
      <w:numFmt w:val="lowerLetter"/>
      <w:lvlText w:val="%1)"/>
      <w:lvlJc w:val="left"/>
      <w:pPr>
        <w:ind w:left="1140" w:hanging="360"/>
      </w:pPr>
    </w:lvl>
    <w:lvl w:ilvl="1" w:tplc="041D0019" w:tentative="1">
      <w:start w:val="1"/>
      <w:numFmt w:val="lowerLetter"/>
      <w:lvlText w:val="%2."/>
      <w:lvlJc w:val="left"/>
      <w:pPr>
        <w:ind w:left="1860" w:hanging="360"/>
      </w:pPr>
    </w:lvl>
    <w:lvl w:ilvl="2" w:tplc="041D001B" w:tentative="1">
      <w:start w:val="1"/>
      <w:numFmt w:val="lowerRoman"/>
      <w:lvlText w:val="%3."/>
      <w:lvlJc w:val="right"/>
      <w:pPr>
        <w:ind w:left="2580" w:hanging="180"/>
      </w:pPr>
    </w:lvl>
    <w:lvl w:ilvl="3" w:tplc="041D000F" w:tentative="1">
      <w:start w:val="1"/>
      <w:numFmt w:val="decimal"/>
      <w:lvlText w:val="%4."/>
      <w:lvlJc w:val="left"/>
      <w:pPr>
        <w:ind w:left="3300" w:hanging="360"/>
      </w:pPr>
    </w:lvl>
    <w:lvl w:ilvl="4" w:tplc="041D0019" w:tentative="1">
      <w:start w:val="1"/>
      <w:numFmt w:val="lowerLetter"/>
      <w:lvlText w:val="%5."/>
      <w:lvlJc w:val="left"/>
      <w:pPr>
        <w:ind w:left="4020" w:hanging="360"/>
      </w:pPr>
    </w:lvl>
    <w:lvl w:ilvl="5" w:tplc="041D001B" w:tentative="1">
      <w:start w:val="1"/>
      <w:numFmt w:val="lowerRoman"/>
      <w:lvlText w:val="%6."/>
      <w:lvlJc w:val="right"/>
      <w:pPr>
        <w:ind w:left="4740" w:hanging="180"/>
      </w:pPr>
    </w:lvl>
    <w:lvl w:ilvl="6" w:tplc="041D000F" w:tentative="1">
      <w:start w:val="1"/>
      <w:numFmt w:val="decimal"/>
      <w:lvlText w:val="%7."/>
      <w:lvlJc w:val="left"/>
      <w:pPr>
        <w:ind w:left="5460" w:hanging="360"/>
      </w:pPr>
    </w:lvl>
    <w:lvl w:ilvl="7" w:tplc="041D0019" w:tentative="1">
      <w:start w:val="1"/>
      <w:numFmt w:val="lowerLetter"/>
      <w:lvlText w:val="%8."/>
      <w:lvlJc w:val="left"/>
      <w:pPr>
        <w:ind w:left="6180" w:hanging="360"/>
      </w:pPr>
    </w:lvl>
    <w:lvl w:ilvl="8" w:tplc="041D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41EA75F6"/>
    <w:multiLevelType w:val="hybridMultilevel"/>
    <w:tmpl w:val="5152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0453A"/>
    <w:multiLevelType w:val="multilevel"/>
    <w:tmpl w:val="281E86BE"/>
    <w:name w:val="Recommend3"/>
    <w:numStyleLink w:val="Recommendation"/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37A6E"/>
    <w:multiLevelType w:val="hybridMultilevel"/>
    <w:tmpl w:val="650E310C"/>
    <w:lvl w:ilvl="0" w:tplc="DA84BB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3786FCA"/>
    <w:multiLevelType w:val="hybridMultilevel"/>
    <w:tmpl w:val="4922F3FA"/>
    <w:lvl w:ilvl="0" w:tplc="52A05B92">
      <w:start w:val="1"/>
      <w:numFmt w:val="lowerLetter"/>
      <w:lvlText w:val="%1)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114DD"/>
    <w:multiLevelType w:val="hybridMultilevel"/>
    <w:tmpl w:val="310CFA9C"/>
    <w:lvl w:ilvl="0" w:tplc="B73E6B6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40C6186"/>
    <w:multiLevelType w:val="hybridMultilevel"/>
    <w:tmpl w:val="324C056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E5DF3"/>
    <w:multiLevelType w:val="hybridMultilevel"/>
    <w:tmpl w:val="D59C7388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4" w15:restartNumberingAfterBreak="0">
    <w:nsid w:val="7EE868A3"/>
    <w:multiLevelType w:val="hybridMultilevel"/>
    <w:tmpl w:val="0EF66F58"/>
    <w:lvl w:ilvl="0" w:tplc="163C7B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4"/>
  </w:num>
  <w:num w:numId="3">
    <w:abstractNumId w:val="15"/>
  </w:num>
  <w:num w:numId="4">
    <w:abstractNumId w:val="17"/>
  </w:num>
  <w:num w:numId="5">
    <w:abstractNumId w:val="13"/>
  </w:num>
  <w:num w:numId="6">
    <w:abstractNumId w:val="22"/>
  </w:num>
  <w:num w:numId="7">
    <w:abstractNumId w:val="28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0"/>
  </w:num>
  <w:num w:numId="15">
    <w:abstractNumId w:val="32"/>
  </w:num>
  <w:num w:numId="16">
    <w:abstractNumId w:val="33"/>
  </w:num>
  <w:num w:numId="17">
    <w:abstractNumId w:val="9"/>
  </w:num>
  <w:num w:numId="18">
    <w:abstractNumId w:val="8"/>
  </w:num>
  <w:num w:numId="19">
    <w:abstractNumId w:val="6"/>
  </w:num>
  <w:num w:numId="20">
    <w:abstractNumId w:val="23"/>
  </w:num>
  <w:num w:numId="21">
    <w:abstractNumId w:val="24"/>
  </w:num>
  <w:num w:numId="22">
    <w:abstractNumId w:val="20"/>
  </w:num>
  <w:num w:numId="23">
    <w:abstractNumId w:val="7"/>
  </w:num>
  <w:num w:numId="24">
    <w:abstractNumId w:val="3"/>
  </w:num>
  <w:num w:numId="25">
    <w:abstractNumId w:val="21"/>
  </w:num>
  <w:num w:numId="26">
    <w:abstractNumId w:val="34"/>
  </w:num>
  <w:num w:numId="27">
    <w:abstractNumId w:val="27"/>
  </w:num>
  <w:num w:numId="28">
    <w:abstractNumId w:val="5"/>
  </w:num>
  <w:num w:numId="29">
    <w:abstractNumId w:val="31"/>
  </w:num>
  <w:num w:numId="30">
    <w:abstractNumId w:val="19"/>
  </w:num>
  <w:num w:numId="31">
    <w:abstractNumId w:val="12"/>
  </w:num>
  <w:num w:numId="32">
    <w:abstractNumId w:val="18"/>
  </w:num>
  <w:num w:numId="33">
    <w:abstractNumId w:val="30"/>
  </w:num>
  <w:num w:numId="34">
    <w:abstractNumId w:val="16"/>
  </w:num>
  <w:num w:numId="35">
    <w:abstractNumId w:val="29"/>
  </w:num>
  <w:num w:numId="36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757"/>
    <w:rsid w:val="00002A37"/>
    <w:rsid w:val="00006446"/>
    <w:rsid w:val="00006896"/>
    <w:rsid w:val="00006B58"/>
    <w:rsid w:val="00007CDC"/>
    <w:rsid w:val="00007E19"/>
    <w:rsid w:val="00011B28"/>
    <w:rsid w:val="00014145"/>
    <w:rsid w:val="00015D15"/>
    <w:rsid w:val="00022281"/>
    <w:rsid w:val="0002564D"/>
    <w:rsid w:val="00025ECA"/>
    <w:rsid w:val="00026E06"/>
    <w:rsid w:val="00027939"/>
    <w:rsid w:val="000306FE"/>
    <w:rsid w:val="000325B8"/>
    <w:rsid w:val="00034C15"/>
    <w:rsid w:val="00036BA1"/>
    <w:rsid w:val="0004007E"/>
    <w:rsid w:val="000422E2"/>
    <w:rsid w:val="00042366"/>
    <w:rsid w:val="00042F22"/>
    <w:rsid w:val="00043D64"/>
    <w:rsid w:val="000444EF"/>
    <w:rsid w:val="00044CC9"/>
    <w:rsid w:val="000452E1"/>
    <w:rsid w:val="00052A07"/>
    <w:rsid w:val="000534E3"/>
    <w:rsid w:val="0005606A"/>
    <w:rsid w:val="00057117"/>
    <w:rsid w:val="000616E7"/>
    <w:rsid w:val="0006487E"/>
    <w:rsid w:val="00065E1A"/>
    <w:rsid w:val="00072184"/>
    <w:rsid w:val="00074D07"/>
    <w:rsid w:val="00077E5F"/>
    <w:rsid w:val="0008036A"/>
    <w:rsid w:val="0008146F"/>
    <w:rsid w:val="00081AE6"/>
    <w:rsid w:val="000855EB"/>
    <w:rsid w:val="00085B52"/>
    <w:rsid w:val="000860C6"/>
    <w:rsid w:val="000866F2"/>
    <w:rsid w:val="00087112"/>
    <w:rsid w:val="0009009F"/>
    <w:rsid w:val="00090C32"/>
    <w:rsid w:val="00090CA9"/>
    <w:rsid w:val="00091557"/>
    <w:rsid w:val="000924C1"/>
    <w:rsid w:val="000924F0"/>
    <w:rsid w:val="00093474"/>
    <w:rsid w:val="0009510F"/>
    <w:rsid w:val="00095FB4"/>
    <w:rsid w:val="000A1B7B"/>
    <w:rsid w:val="000A22BC"/>
    <w:rsid w:val="000A4D96"/>
    <w:rsid w:val="000A56F2"/>
    <w:rsid w:val="000A793A"/>
    <w:rsid w:val="000B2719"/>
    <w:rsid w:val="000B3A8F"/>
    <w:rsid w:val="000B4AB9"/>
    <w:rsid w:val="000B58C3"/>
    <w:rsid w:val="000B61E9"/>
    <w:rsid w:val="000C165A"/>
    <w:rsid w:val="000C1DB5"/>
    <w:rsid w:val="000C2E19"/>
    <w:rsid w:val="000C384C"/>
    <w:rsid w:val="000C711F"/>
    <w:rsid w:val="000D0D07"/>
    <w:rsid w:val="000D26D4"/>
    <w:rsid w:val="000D2FD3"/>
    <w:rsid w:val="000D4797"/>
    <w:rsid w:val="000E0527"/>
    <w:rsid w:val="000E1E92"/>
    <w:rsid w:val="000E24A2"/>
    <w:rsid w:val="000E3605"/>
    <w:rsid w:val="000F06D6"/>
    <w:rsid w:val="000F0EB1"/>
    <w:rsid w:val="000F1106"/>
    <w:rsid w:val="000F3BE9"/>
    <w:rsid w:val="000F3F6C"/>
    <w:rsid w:val="000F6745"/>
    <w:rsid w:val="000F6DF3"/>
    <w:rsid w:val="001003E0"/>
    <w:rsid w:val="00100539"/>
    <w:rsid w:val="001005FF"/>
    <w:rsid w:val="0010293C"/>
    <w:rsid w:val="0010366B"/>
    <w:rsid w:val="00105190"/>
    <w:rsid w:val="001062FB"/>
    <w:rsid w:val="001063E6"/>
    <w:rsid w:val="0011331A"/>
    <w:rsid w:val="00113CF4"/>
    <w:rsid w:val="001153EA"/>
    <w:rsid w:val="00115643"/>
    <w:rsid w:val="00116765"/>
    <w:rsid w:val="0011758E"/>
    <w:rsid w:val="00120819"/>
    <w:rsid w:val="0012102B"/>
    <w:rsid w:val="001219F5"/>
    <w:rsid w:val="00121A20"/>
    <w:rsid w:val="00122F2E"/>
    <w:rsid w:val="0012377F"/>
    <w:rsid w:val="00124314"/>
    <w:rsid w:val="00126B4A"/>
    <w:rsid w:val="00127115"/>
    <w:rsid w:val="001318E7"/>
    <w:rsid w:val="00132FD0"/>
    <w:rsid w:val="001344C0"/>
    <w:rsid w:val="001346FA"/>
    <w:rsid w:val="00135252"/>
    <w:rsid w:val="001362BC"/>
    <w:rsid w:val="00137AB5"/>
    <w:rsid w:val="00137F0B"/>
    <w:rsid w:val="00144C11"/>
    <w:rsid w:val="0015148E"/>
    <w:rsid w:val="00151E23"/>
    <w:rsid w:val="001526E0"/>
    <w:rsid w:val="001551B5"/>
    <w:rsid w:val="001643A8"/>
    <w:rsid w:val="00165332"/>
    <w:rsid w:val="001659C1"/>
    <w:rsid w:val="001663F1"/>
    <w:rsid w:val="0017153B"/>
    <w:rsid w:val="00173A8E"/>
    <w:rsid w:val="001760C4"/>
    <w:rsid w:val="00177186"/>
    <w:rsid w:val="001774AD"/>
    <w:rsid w:val="00177795"/>
    <w:rsid w:val="0018143F"/>
    <w:rsid w:val="00190AC1"/>
    <w:rsid w:val="0019341A"/>
    <w:rsid w:val="0019538E"/>
    <w:rsid w:val="00197DF9"/>
    <w:rsid w:val="001A1987"/>
    <w:rsid w:val="001A2564"/>
    <w:rsid w:val="001A4273"/>
    <w:rsid w:val="001A47FD"/>
    <w:rsid w:val="001A53E8"/>
    <w:rsid w:val="001A5460"/>
    <w:rsid w:val="001A6173"/>
    <w:rsid w:val="001A6CBA"/>
    <w:rsid w:val="001B089C"/>
    <w:rsid w:val="001B0D97"/>
    <w:rsid w:val="001B5A5D"/>
    <w:rsid w:val="001C0DE0"/>
    <w:rsid w:val="001C1CE5"/>
    <w:rsid w:val="001C3D2A"/>
    <w:rsid w:val="001C6495"/>
    <w:rsid w:val="001D51BA"/>
    <w:rsid w:val="001D6342"/>
    <w:rsid w:val="001D6D53"/>
    <w:rsid w:val="001E30E0"/>
    <w:rsid w:val="001E58E2"/>
    <w:rsid w:val="001E6BA2"/>
    <w:rsid w:val="001E7AED"/>
    <w:rsid w:val="001F0B63"/>
    <w:rsid w:val="001F1649"/>
    <w:rsid w:val="001F3916"/>
    <w:rsid w:val="001F54C5"/>
    <w:rsid w:val="001F662C"/>
    <w:rsid w:val="001F7074"/>
    <w:rsid w:val="00200490"/>
    <w:rsid w:val="00200740"/>
    <w:rsid w:val="00201F3A"/>
    <w:rsid w:val="00203F96"/>
    <w:rsid w:val="002069B2"/>
    <w:rsid w:val="00207FA3"/>
    <w:rsid w:val="00214DA8"/>
    <w:rsid w:val="00215423"/>
    <w:rsid w:val="002158FA"/>
    <w:rsid w:val="00216736"/>
    <w:rsid w:val="00220600"/>
    <w:rsid w:val="002224DB"/>
    <w:rsid w:val="00223E43"/>
    <w:rsid w:val="00223FCB"/>
    <w:rsid w:val="002252C3"/>
    <w:rsid w:val="00225C54"/>
    <w:rsid w:val="00227D82"/>
    <w:rsid w:val="00230765"/>
    <w:rsid w:val="002319E4"/>
    <w:rsid w:val="00234CFD"/>
    <w:rsid w:val="00235632"/>
    <w:rsid w:val="00235872"/>
    <w:rsid w:val="00241559"/>
    <w:rsid w:val="002435B3"/>
    <w:rsid w:val="002454F3"/>
    <w:rsid w:val="002458EB"/>
    <w:rsid w:val="002500C8"/>
    <w:rsid w:val="00250553"/>
    <w:rsid w:val="00252B9E"/>
    <w:rsid w:val="00253C5B"/>
    <w:rsid w:val="002547D9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023"/>
    <w:rsid w:val="00294879"/>
    <w:rsid w:val="00296227"/>
    <w:rsid w:val="00296F44"/>
    <w:rsid w:val="0029777D"/>
    <w:rsid w:val="002A055E"/>
    <w:rsid w:val="002A1D4E"/>
    <w:rsid w:val="002A2869"/>
    <w:rsid w:val="002A2DE7"/>
    <w:rsid w:val="002A4B04"/>
    <w:rsid w:val="002B24D6"/>
    <w:rsid w:val="002B6F6B"/>
    <w:rsid w:val="002C41E6"/>
    <w:rsid w:val="002C482B"/>
    <w:rsid w:val="002C7238"/>
    <w:rsid w:val="002D071A"/>
    <w:rsid w:val="002D139E"/>
    <w:rsid w:val="002D34B2"/>
    <w:rsid w:val="002D7637"/>
    <w:rsid w:val="002E06C2"/>
    <w:rsid w:val="002E104A"/>
    <w:rsid w:val="002E17F2"/>
    <w:rsid w:val="002E2B3B"/>
    <w:rsid w:val="002E390A"/>
    <w:rsid w:val="002E4A3B"/>
    <w:rsid w:val="002E7CAE"/>
    <w:rsid w:val="002F1A8C"/>
    <w:rsid w:val="002F2771"/>
    <w:rsid w:val="002F37A9"/>
    <w:rsid w:val="002F3B99"/>
    <w:rsid w:val="002F424E"/>
    <w:rsid w:val="00301CE6"/>
    <w:rsid w:val="0030256B"/>
    <w:rsid w:val="0030501F"/>
    <w:rsid w:val="00307BA1"/>
    <w:rsid w:val="00311537"/>
    <w:rsid w:val="00311702"/>
    <w:rsid w:val="00311E82"/>
    <w:rsid w:val="00313FD6"/>
    <w:rsid w:val="003143BD"/>
    <w:rsid w:val="00317B01"/>
    <w:rsid w:val="003200FD"/>
    <w:rsid w:val="003203ED"/>
    <w:rsid w:val="003220C8"/>
    <w:rsid w:val="00322C9F"/>
    <w:rsid w:val="00324D23"/>
    <w:rsid w:val="00331751"/>
    <w:rsid w:val="00332D40"/>
    <w:rsid w:val="00334579"/>
    <w:rsid w:val="00334D50"/>
    <w:rsid w:val="00335858"/>
    <w:rsid w:val="0033606B"/>
    <w:rsid w:val="00336BDA"/>
    <w:rsid w:val="00341E5B"/>
    <w:rsid w:val="00342BD7"/>
    <w:rsid w:val="00343A07"/>
    <w:rsid w:val="00346C1F"/>
    <w:rsid w:val="00346DB5"/>
    <w:rsid w:val="003477B1"/>
    <w:rsid w:val="00350E99"/>
    <w:rsid w:val="0035482C"/>
    <w:rsid w:val="00356BA7"/>
    <w:rsid w:val="00357380"/>
    <w:rsid w:val="00357436"/>
    <w:rsid w:val="003602D9"/>
    <w:rsid w:val="003604CE"/>
    <w:rsid w:val="0036328E"/>
    <w:rsid w:val="00367DAB"/>
    <w:rsid w:val="00370E47"/>
    <w:rsid w:val="003742AC"/>
    <w:rsid w:val="003765DA"/>
    <w:rsid w:val="003770B3"/>
    <w:rsid w:val="00377CE1"/>
    <w:rsid w:val="00385BF0"/>
    <w:rsid w:val="0039358F"/>
    <w:rsid w:val="003939FF"/>
    <w:rsid w:val="00395B8C"/>
    <w:rsid w:val="003A2223"/>
    <w:rsid w:val="003A2A0F"/>
    <w:rsid w:val="003A45A1"/>
    <w:rsid w:val="003A5B0A"/>
    <w:rsid w:val="003A6B69"/>
    <w:rsid w:val="003A6BAC"/>
    <w:rsid w:val="003A7EF3"/>
    <w:rsid w:val="003B159C"/>
    <w:rsid w:val="003B369F"/>
    <w:rsid w:val="003B36A3"/>
    <w:rsid w:val="003B7FE5"/>
    <w:rsid w:val="003C11C8"/>
    <w:rsid w:val="003C2702"/>
    <w:rsid w:val="003C3A36"/>
    <w:rsid w:val="003C7806"/>
    <w:rsid w:val="003D109F"/>
    <w:rsid w:val="003D2478"/>
    <w:rsid w:val="003D2FC4"/>
    <w:rsid w:val="003D3C45"/>
    <w:rsid w:val="003D5B1F"/>
    <w:rsid w:val="003E15FA"/>
    <w:rsid w:val="003E4BE9"/>
    <w:rsid w:val="003E55E4"/>
    <w:rsid w:val="003E5E50"/>
    <w:rsid w:val="003E74E3"/>
    <w:rsid w:val="003F05C7"/>
    <w:rsid w:val="003F2CD4"/>
    <w:rsid w:val="003F6BBE"/>
    <w:rsid w:val="004000E8"/>
    <w:rsid w:val="00402E2B"/>
    <w:rsid w:val="00402EC7"/>
    <w:rsid w:val="00404514"/>
    <w:rsid w:val="0040512B"/>
    <w:rsid w:val="00405CA5"/>
    <w:rsid w:val="00407CD3"/>
    <w:rsid w:val="00410134"/>
    <w:rsid w:val="00410B72"/>
    <w:rsid w:val="00410E55"/>
    <w:rsid w:val="00410F18"/>
    <w:rsid w:val="004111C3"/>
    <w:rsid w:val="004114CC"/>
    <w:rsid w:val="0041263E"/>
    <w:rsid w:val="00413AAC"/>
    <w:rsid w:val="00414C99"/>
    <w:rsid w:val="004150C0"/>
    <w:rsid w:val="00421105"/>
    <w:rsid w:val="004242F4"/>
    <w:rsid w:val="00425039"/>
    <w:rsid w:val="00426D0C"/>
    <w:rsid w:val="00427248"/>
    <w:rsid w:val="00430F38"/>
    <w:rsid w:val="004342B0"/>
    <w:rsid w:val="00437447"/>
    <w:rsid w:val="00441A92"/>
    <w:rsid w:val="00444F56"/>
    <w:rsid w:val="0044588C"/>
    <w:rsid w:val="00446488"/>
    <w:rsid w:val="004517AA"/>
    <w:rsid w:val="00452CAC"/>
    <w:rsid w:val="00453740"/>
    <w:rsid w:val="00457565"/>
    <w:rsid w:val="00457B71"/>
    <w:rsid w:val="00460C13"/>
    <w:rsid w:val="00465F3A"/>
    <w:rsid w:val="004669E2"/>
    <w:rsid w:val="00470C31"/>
    <w:rsid w:val="004734D0"/>
    <w:rsid w:val="00474A90"/>
    <w:rsid w:val="0047556B"/>
    <w:rsid w:val="00477768"/>
    <w:rsid w:val="00480B29"/>
    <w:rsid w:val="00484EF5"/>
    <w:rsid w:val="00487BD1"/>
    <w:rsid w:val="00491386"/>
    <w:rsid w:val="00492BC5"/>
    <w:rsid w:val="00494B9C"/>
    <w:rsid w:val="004964F1"/>
    <w:rsid w:val="004A16BC"/>
    <w:rsid w:val="004A2B94"/>
    <w:rsid w:val="004A7D9F"/>
    <w:rsid w:val="004B2291"/>
    <w:rsid w:val="004B7C0C"/>
    <w:rsid w:val="004C3898"/>
    <w:rsid w:val="004D36B1"/>
    <w:rsid w:val="004D39F7"/>
    <w:rsid w:val="004D7EBD"/>
    <w:rsid w:val="004E224D"/>
    <w:rsid w:val="004E2680"/>
    <w:rsid w:val="004E28F9"/>
    <w:rsid w:val="004E462E"/>
    <w:rsid w:val="004E56DC"/>
    <w:rsid w:val="004E76F4"/>
    <w:rsid w:val="004F0B4E"/>
    <w:rsid w:val="004F0B6C"/>
    <w:rsid w:val="004F16E7"/>
    <w:rsid w:val="004F2078"/>
    <w:rsid w:val="004F3511"/>
    <w:rsid w:val="004F4DA3"/>
    <w:rsid w:val="00500DD9"/>
    <w:rsid w:val="00502E8E"/>
    <w:rsid w:val="00506557"/>
    <w:rsid w:val="0050677A"/>
    <w:rsid w:val="005108D8"/>
    <w:rsid w:val="005116F9"/>
    <w:rsid w:val="005153A7"/>
    <w:rsid w:val="00515448"/>
    <w:rsid w:val="00515C1F"/>
    <w:rsid w:val="005219CF"/>
    <w:rsid w:val="00531534"/>
    <w:rsid w:val="005338D0"/>
    <w:rsid w:val="00534B59"/>
    <w:rsid w:val="00536759"/>
    <w:rsid w:val="00537C62"/>
    <w:rsid w:val="00541406"/>
    <w:rsid w:val="005423FB"/>
    <w:rsid w:val="00542539"/>
    <w:rsid w:val="00545A5F"/>
    <w:rsid w:val="00546970"/>
    <w:rsid w:val="00554E19"/>
    <w:rsid w:val="0056121F"/>
    <w:rsid w:val="005646B8"/>
    <w:rsid w:val="00571AA2"/>
    <w:rsid w:val="00572505"/>
    <w:rsid w:val="0057614D"/>
    <w:rsid w:val="00576E49"/>
    <w:rsid w:val="00580202"/>
    <w:rsid w:val="00582081"/>
    <w:rsid w:val="00582809"/>
    <w:rsid w:val="0058798C"/>
    <w:rsid w:val="005900FA"/>
    <w:rsid w:val="005935A4"/>
    <w:rsid w:val="00593EAE"/>
    <w:rsid w:val="005948C2"/>
    <w:rsid w:val="00595DCA"/>
    <w:rsid w:val="005962C5"/>
    <w:rsid w:val="0059779B"/>
    <w:rsid w:val="005A1561"/>
    <w:rsid w:val="005A209A"/>
    <w:rsid w:val="005A4C89"/>
    <w:rsid w:val="005A5F9D"/>
    <w:rsid w:val="005A662D"/>
    <w:rsid w:val="005A7D23"/>
    <w:rsid w:val="005B0695"/>
    <w:rsid w:val="005B35D7"/>
    <w:rsid w:val="005B392A"/>
    <w:rsid w:val="005B3AA3"/>
    <w:rsid w:val="005B6F83"/>
    <w:rsid w:val="005B7014"/>
    <w:rsid w:val="005B7B1C"/>
    <w:rsid w:val="005C2714"/>
    <w:rsid w:val="005C5268"/>
    <w:rsid w:val="005C74FB"/>
    <w:rsid w:val="005C7F8A"/>
    <w:rsid w:val="005D1602"/>
    <w:rsid w:val="005D4E73"/>
    <w:rsid w:val="005D663C"/>
    <w:rsid w:val="005E1D52"/>
    <w:rsid w:val="005E2660"/>
    <w:rsid w:val="005E2E57"/>
    <w:rsid w:val="005E385F"/>
    <w:rsid w:val="005E3A93"/>
    <w:rsid w:val="005E5B81"/>
    <w:rsid w:val="005F2CB1"/>
    <w:rsid w:val="005F3025"/>
    <w:rsid w:val="005F4D03"/>
    <w:rsid w:val="005F618C"/>
    <w:rsid w:val="005F70BD"/>
    <w:rsid w:val="0060283C"/>
    <w:rsid w:val="00603FF3"/>
    <w:rsid w:val="00604F14"/>
    <w:rsid w:val="00605F62"/>
    <w:rsid w:val="0061178B"/>
    <w:rsid w:val="00611B83"/>
    <w:rsid w:val="00613257"/>
    <w:rsid w:val="006178AA"/>
    <w:rsid w:val="00620A71"/>
    <w:rsid w:val="00620D80"/>
    <w:rsid w:val="006234A6"/>
    <w:rsid w:val="00624D23"/>
    <w:rsid w:val="00625DFF"/>
    <w:rsid w:val="00630001"/>
    <w:rsid w:val="006311B3"/>
    <w:rsid w:val="0063227C"/>
    <w:rsid w:val="0063284C"/>
    <w:rsid w:val="0063406E"/>
    <w:rsid w:val="00636398"/>
    <w:rsid w:val="006368D3"/>
    <w:rsid w:val="006377EC"/>
    <w:rsid w:val="00640B2E"/>
    <w:rsid w:val="0064151F"/>
    <w:rsid w:val="00641533"/>
    <w:rsid w:val="0064208D"/>
    <w:rsid w:val="0064227B"/>
    <w:rsid w:val="00643475"/>
    <w:rsid w:val="0064396A"/>
    <w:rsid w:val="0064624E"/>
    <w:rsid w:val="00650AB9"/>
    <w:rsid w:val="0065144B"/>
    <w:rsid w:val="00651A11"/>
    <w:rsid w:val="0065251D"/>
    <w:rsid w:val="00655733"/>
    <w:rsid w:val="00655ACD"/>
    <w:rsid w:val="00655FC2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67F6F"/>
    <w:rsid w:val="00670922"/>
    <w:rsid w:val="00670BE1"/>
    <w:rsid w:val="0067218F"/>
    <w:rsid w:val="00672306"/>
    <w:rsid w:val="006741F2"/>
    <w:rsid w:val="00674CC3"/>
    <w:rsid w:val="00675C72"/>
    <w:rsid w:val="006771F9"/>
    <w:rsid w:val="006776D7"/>
    <w:rsid w:val="006801FF"/>
    <w:rsid w:val="00681003"/>
    <w:rsid w:val="006817C9"/>
    <w:rsid w:val="00683ECE"/>
    <w:rsid w:val="0068643E"/>
    <w:rsid w:val="006867DE"/>
    <w:rsid w:val="00695FC2"/>
    <w:rsid w:val="00696949"/>
    <w:rsid w:val="00696A0A"/>
    <w:rsid w:val="00697052"/>
    <w:rsid w:val="006976FF"/>
    <w:rsid w:val="006A3984"/>
    <w:rsid w:val="006A46FB"/>
    <w:rsid w:val="006A5E28"/>
    <w:rsid w:val="006A6975"/>
    <w:rsid w:val="006A697B"/>
    <w:rsid w:val="006A7AFF"/>
    <w:rsid w:val="006B1816"/>
    <w:rsid w:val="006B2099"/>
    <w:rsid w:val="006B50CF"/>
    <w:rsid w:val="006B6B1F"/>
    <w:rsid w:val="006C017A"/>
    <w:rsid w:val="006C03B8"/>
    <w:rsid w:val="006C2073"/>
    <w:rsid w:val="006C5EC9"/>
    <w:rsid w:val="006C6059"/>
    <w:rsid w:val="006C7522"/>
    <w:rsid w:val="006D54EB"/>
    <w:rsid w:val="006D6F08"/>
    <w:rsid w:val="006E062C"/>
    <w:rsid w:val="006E28B7"/>
    <w:rsid w:val="006E3310"/>
    <w:rsid w:val="006E37D7"/>
    <w:rsid w:val="006E4E39"/>
    <w:rsid w:val="006E565E"/>
    <w:rsid w:val="006E673D"/>
    <w:rsid w:val="006E7D3B"/>
    <w:rsid w:val="006F1B70"/>
    <w:rsid w:val="006F341D"/>
    <w:rsid w:val="006F3CDE"/>
    <w:rsid w:val="006F58D4"/>
    <w:rsid w:val="006F61E0"/>
    <w:rsid w:val="0070346E"/>
    <w:rsid w:val="00704EDB"/>
    <w:rsid w:val="0070537F"/>
    <w:rsid w:val="00706101"/>
    <w:rsid w:val="00707072"/>
    <w:rsid w:val="00707D61"/>
    <w:rsid w:val="00712287"/>
    <w:rsid w:val="007124FE"/>
    <w:rsid w:val="00712772"/>
    <w:rsid w:val="007148D3"/>
    <w:rsid w:val="00715B9A"/>
    <w:rsid w:val="00720B81"/>
    <w:rsid w:val="00721593"/>
    <w:rsid w:val="007228F3"/>
    <w:rsid w:val="00723683"/>
    <w:rsid w:val="0072405E"/>
    <w:rsid w:val="00726EA6"/>
    <w:rsid w:val="00727208"/>
    <w:rsid w:val="00727680"/>
    <w:rsid w:val="0073092B"/>
    <w:rsid w:val="00732488"/>
    <w:rsid w:val="00733E11"/>
    <w:rsid w:val="00733E14"/>
    <w:rsid w:val="007348B1"/>
    <w:rsid w:val="00734B23"/>
    <w:rsid w:val="007362A6"/>
    <w:rsid w:val="00736D7D"/>
    <w:rsid w:val="00740E58"/>
    <w:rsid w:val="00741CDC"/>
    <w:rsid w:val="007445A0"/>
    <w:rsid w:val="0074524B"/>
    <w:rsid w:val="0074686D"/>
    <w:rsid w:val="00746FC8"/>
    <w:rsid w:val="00747513"/>
    <w:rsid w:val="00747D8B"/>
    <w:rsid w:val="00751228"/>
    <w:rsid w:val="00751EC6"/>
    <w:rsid w:val="007571E1"/>
    <w:rsid w:val="007604B2"/>
    <w:rsid w:val="00762241"/>
    <w:rsid w:val="00762BF5"/>
    <w:rsid w:val="00765281"/>
    <w:rsid w:val="00766BAD"/>
    <w:rsid w:val="007730BD"/>
    <w:rsid w:val="00775506"/>
    <w:rsid w:val="007755F2"/>
    <w:rsid w:val="00776971"/>
    <w:rsid w:val="0078177E"/>
    <w:rsid w:val="0078304C"/>
    <w:rsid w:val="00783673"/>
    <w:rsid w:val="007845CD"/>
    <w:rsid w:val="00785490"/>
    <w:rsid w:val="00785B9F"/>
    <w:rsid w:val="007925EA"/>
    <w:rsid w:val="00793CD8"/>
    <w:rsid w:val="00795819"/>
    <w:rsid w:val="00795C92"/>
    <w:rsid w:val="00796231"/>
    <w:rsid w:val="007A1462"/>
    <w:rsid w:val="007A1CB3"/>
    <w:rsid w:val="007A306F"/>
    <w:rsid w:val="007A4395"/>
    <w:rsid w:val="007A43A6"/>
    <w:rsid w:val="007A580A"/>
    <w:rsid w:val="007A58A6"/>
    <w:rsid w:val="007B3D2D"/>
    <w:rsid w:val="007B3DDD"/>
    <w:rsid w:val="007B50AE"/>
    <w:rsid w:val="007B51DF"/>
    <w:rsid w:val="007B61D8"/>
    <w:rsid w:val="007C05DD"/>
    <w:rsid w:val="007C3D18"/>
    <w:rsid w:val="007C5A5D"/>
    <w:rsid w:val="007C60BF"/>
    <w:rsid w:val="007C6A07"/>
    <w:rsid w:val="007C75A1"/>
    <w:rsid w:val="007C77A5"/>
    <w:rsid w:val="007D04E5"/>
    <w:rsid w:val="007D08F3"/>
    <w:rsid w:val="007D18C1"/>
    <w:rsid w:val="007D1FA1"/>
    <w:rsid w:val="007D5901"/>
    <w:rsid w:val="007D668E"/>
    <w:rsid w:val="007D7526"/>
    <w:rsid w:val="007E2F64"/>
    <w:rsid w:val="007E3AD8"/>
    <w:rsid w:val="007E4610"/>
    <w:rsid w:val="007E4715"/>
    <w:rsid w:val="007E505B"/>
    <w:rsid w:val="007E694C"/>
    <w:rsid w:val="007E7091"/>
    <w:rsid w:val="007E77E3"/>
    <w:rsid w:val="007F25B9"/>
    <w:rsid w:val="00803FAE"/>
    <w:rsid w:val="0080605F"/>
    <w:rsid w:val="00807786"/>
    <w:rsid w:val="00807C30"/>
    <w:rsid w:val="00811FCB"/>
    <w:rsid w:val="008158D6"/>
    <w:rsid w:val="00815E0F"/>
    <w:rsid w:val="00817196"/>
    <w:rsid w:val="00817EDE"/>
    <w:rsid w:val="008210B5"/>
    <w:rsid w:val="008235DB"/>
    <w:rsid w:val="00824233"/>
    <w:rsid w:val="00824AB4"/>
    <w:rsid w:val="00825C42"/>
    <w:rsid w:val="00825D25"/>
    <w:rsid w:val="00827D6F"/>
    <w:rsid w:val="00833F18"/>
    <w:rsid w:val="00834F0C"/>
    <w:rsid w:val="008376AC"/>
    <w:rsid w:val="008444E8"/>
    <w:rsid w:val="00844E80"/>
    <w:rsid w:val="00846FE7"/>
    <w:rsid w:val="00847C2F"/>
    <w:rsid w:val="00850CEC"/>
    <w:rsid w:val="00856911"/>
    <w:rsid w:val="008609E4"/>
    <w:rsid w:val="00866478"/>
    <w:rsid w:val="0086680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712"/>
    <w:rsid w:val="008917E6"/>
    <w:rsid w:val="00894A88"/>
    <w:rsid w:val="00895386"/>
    <w:rsid w:val="0089683A"/>
    <w:rsid w:val="008A21FF"/>
    <w:rsid w:val="008A2CE2"/>
    <w:rsid w:val="008A30AC"/>
    <w:rsid w:val="008A44B8"/>
    <w:rsid w:val="008A51A8"/>
    <w:rsid w:val="008A54C7"/>
    <w:rsid w:val="008A5CF5"/>
    <w:rsid w:val="008A77D8"/>
    <w:rsid w:val="008B0483"/>
    <w:rsid w:val="008B120C"/>
    <w:rsid w:val="008B51A0"/>
    <w:rsid w:val="008B553F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E99"/>
    <w:rsid w:val="008F477F"/>
    <w:rsid w:val="008F5470"/>
    <w:rsid w:val="00902350"/>
    <w:rsid w:val="009029C5"/>
    <w:rsid w:val="0090336B"/>
    <w:rsid w:val="009050C4"/>
    <w:rsid w:val="009053AA"/>
    <w:rsid w:val="00906939"/>
    <w:rsid w:val="00910B7D"/>
    <w:rsid w:val="00911DFB"/>
    <w:rsid w:val="009139D9"/>
    <w:rsid w:val="00914AD8"/>
    <w:rsid w:val="00916079"/>
    <w:rsid w:val="00917CE9"/>
    <w:rsid w:val="00917FDA"/>
    <w:rsid w:val="00920BF2"/>
    <w:rsid w:val="00920FEA"/>
    <w:rsid w:val="00922010"/>
    <w:rsid w:val="009260D0"/>
    <w:rsid w:val="009272B3"/>
    <w:rsid w:val="00931BD9"/>
    <w:rsid w:val="009358DD"/>
    <w:rsid w:val="009368F3"/>
    <w:rsid w:val="00940CC7"/>
    <w:rsid w:val="00941636"/>
    <w:rsid w:val="00943742"/>
    <w:rsid w:val="00945C05"/>
    <w:rsid w:val="00946945"/>
    <w:rsid w:val="00947713"/>
    <w:rsid w:val="00950DE7"/>
    <w:rsid w:val="00953920"/>
    <w:rsid w:val="00953D47"/>
    <w:rsid w:val="00954852"/>
    <w:rsid w:val="009560DB"/>
    <w:rsid w:val="0095681E"/>
    <w:rsid w:val="009572D4"/>
    <w:rsid w:val="00961921"/>
    <w:rsid w:val="00961E81"/>
    <w:rsid w:val="0096430A"/>
    <w:rsid w:val="0096554B"/>
    <w:rsid w:val="0096584A"/>
    <w:rsid w:val="0096744D"/>
    <w:rsid w:val="00971F08"/>
    <w:rsid w:val="00973274"/>
    <w:rsid w:val="009756F3"/>
    <w:rsid w:val="0097603D"/>
    <w:rsid w:val="00976949"/>
    <w:rsid w:val="00980477"/>
    <w:rsid w:val="00985253"/>
    <w:rsid w:val="009853B3"/>
    <w:rsid w:val="00986C67"/>
    <w:rsid w:val="00990630"/>
    <w:rsid w:val="009906F5"/>
    <w:rsid w:val="00991761"/>
    <w:rsid w:val="0099324E"/>
    <w:rsid w:val="00994DCA"/>
    <w:rsid w:val="00994EC0"/>
    <w:rsid w:val="009960EC"/>
    <w:rsid w:val="009970DD"/>
    <w:rsid w:val="009A0FBA"/>
    <w:rsid w:val="009A1601"/>
    <w:rsid w:val="009A462D"/>
    <w:rsid w:val="009A5CBA"/>
    <w:rsid w:val="009B1F30"/>
    <w:rsid w:val="009B29EF"/>
    <w:rsid w:val="009B3AC2"/>
    <w:rsid w:val="009B4DF4"/>
    <w:rsid w:val="009B564E"/>
    <w:rsid w:val="009B7E87"/>
    <w:rsid w:val="009C1B49"/>
    <w:rsid w:val="009C403E"/>
    <w:rsid w:val="009D3992"/>
    <w:rsid w:val="009D4FF0"/>
    <w:rsid w:val="009D6B7C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37F"/>
    <w:rsid w:val="00A15699"/>
    <w:rsid w:val="00A17F63"/>
    <w:rsid w:val="00A204C7"/>
    <w:rsid w:val="00A2074C"/>
    <w:rsid w:val="00A2193B"/>
    <w:rsid w:val="00A2351A"/>
    <w:rsid w:val="00A24857"/>
    <w:rsid w:val="00A264A9"/>
    <w:rsid w:val="00A27785"/>
    <w:rsid w:val="00A30187"/>
    <w:rsid w:val="00A33C58"/>
    <w:rsid w:val="00A3448A"/>
    <w:rsid w:val="00A36297"/>
    <w:rsid w:val="00A3671A"/>
    <w:rsid w:val="00A41B6B"/>
    <w:rsid w:val="00A41E2B"/>
    <w:rsid w:val="00A45454"/>
    <w:rsid w:val="00A45B74"/>
    <w:rsid w:val="00A45DB7"/>
    <w:rsid w:val="00A46CDE"/>
    <w:rsid w:val="00A52C43"/>
    <w:rsid w:val="00A52E1D"/>
    <w:rsid w:val="00A61499"/>
    <w:rsid w:val="00A62A77"/>
    <w:rsid w:val="00A62D6E"/>
    <w:rsid w:val="00A63483"/>
    <w:rsid w:val="00A657D7"/>
    <w:rsid w:val="00A660AC"/>
    <w:rsid w:val="00A67E6C"/>
    <w:rsid w:val="00A71B99"/>
    <w:rsid w:val="00A739D0"/>
    <w:rsid w:val="00A761D4"/>
    <w:rsid w:val="00A7628A"/>
    <w:rsid w:val="00A76A2F"/>
    <w:rsid w:val="00A77EC4"/>
    <w:rsid w:val="00A8099A"/>
    <w:rsid w:val="00A834D4"/>
    <w:rsid w:val="00A850AE"/>
    <w:rsid w:val="00A8530C"/>
    <w:rsid w:val="00A8577D"/>
    <w:rsid w:val="00A87405"/>
    <w:rsid w:val="00A92879"/>
    <w:rsid w:val="00A9420E"/>
    <w:rsid w:val="00A9439D"/>
    <w:rsid w:val="00A9442A"/>
    <w:rsid w:val="00A9612D"/>
    <w:rsid w:val="00A9620A"/>
    <w:rsid w:val="00AA016F"/>
    <w:rsid w:val="00AA1ED6"/>
    <w:rsid w:val="00AA461B"/>
    <w:rsid w:val="00AA51D6"/>
    <w:rsid w:val="00AB0BC8"/>
    <w:rsid w:val="00AB11CA"/>
    <w:rsid w:val="00AB14D9"/>
    <w:rsid w:val="00AB333B"/>
    <w:rsid w:val="00AB3441"/>
    <w:rsid w:val="00AB4AB8"/>
    <w:rsid w:val="00AB4C29"/>
    <w:rsid w:val="00AB655E"/>
    <w:rsid w:val="00AC007F"/>
    <w:rsid w:val="00AC2ECD"/>
    <w:rsid w:val="00AC3119"/>
    <w:rsid w:val="00AC49FB"/>
    <w:rsid w:val="00AC5A10"/>
    <w:rsid w:val="00AC5ABB"/>
    <w:rsid w:val="00AC7887"/>
    <w:rsid w:val="00AD0AA3"/>
    <w:rsid w:val="00AD3F94"/>
    <w:rsid w:val="00AD4A5A"/>
    <w:rsid w:val="00AE0792"/>
    <w:rsid w:val="00AE27AC"/>
    <w:rsid w:val="00AE40E0"/>
    <w:rsid w:val="00AE4DBA"/>
    <w:rsid w:val="00AE4F07"/>
    <w:rsid w:val="00AE76CE"/>
    <w:rsid w:val="00AE778E"/>
    <w:rsid w:val="00AF17C7"/>
    <w:rsid w:val="00AF1C5D"/>
    <w:rsid w:val="00AF3488"/>
    <w:rsid w:val="00AF42D7"/>
    <w:rsid w:val="00AF750E"/>
    <w:rsid w:val="00B006FE"/>
    <w:rsid w:val="00B007CB"/>
    <w:rsid w:val="00B01117"/>
    <w:rsid w:val="00B02AA9"/>
    <w:rsid w:val="00B02FA3"/>
    <w:rsid w:val="00B05084"/>
    <w:rsid w:val="00B05DF4"/>
    <w:rsid w:val="00B073FF"/>
    <w:rsid w:val="00B157F9"/>
    <w:rsid w:val="00B167F1"/>
    <w:rsid w:val="00B20256"/>
    <w:rsid w:val="00B20D09"/>
    <w:rsid w:val="00B210B8"/>
    <w:rsid w:val="00B246AC"/>
    <w:rsid w:val="00B2763F"/>
    <w:rsid w:val="00B27AAC"/>
    <w:rsid w:val="00B30929"/>
    <w:rsid w:val="00B350E4"/>
    <w:rsid w:val="00B372AA"/>
    <w:rsid w:val="00B40445"/>
    <w:rsid w:val="00B40D1C"/>
    <w:rsid w:val="00B41888"/>
    <w:rsid w:val="00B42BDB"/>
    <w:rsid w:val="00B45A52"/>
    <w:rsid w:val="00B46175"/>
    <w:rsid w:val="00B51E3C"/>
    <w:rsid w:val="00B6072D"/>
    <w:rsid w:val="00B62AAA"/>
    <w:rsid w:val="00B65CE2"/>
    <w:rsid w:val="00B664C7"/>
    <w:rsid w:val="00B66B7A"/>
    <w:rsid w:val="00B716C3"/>
    <w:rsid w:val="00B729FB"/>
    <w:rsid w:val="00B739F6"/>
    <w:rsid w:val="00B81A6C"/>
    <w:rsid w:val="00B85DE5"/>
    <w:rsid w:val="00B90F73"/>
    <w:rsid w:val="00B91FFE"/>
    <w:rsid w:val="00B93B59"/>
    <w:rsid w:val="00B9406A"/>
    <w:rsid w:val="00BA10F7"/>
    <w:rsid w:val="00BA2280"/>
    <w:rsid w:val="00BA2A08"/>
    <w:rsid w:val="00BA56D2"/>
    <w:rsid w:val="00BA76E0"/>
    <w:rsid w:val="00BB1060"/>
    <w:rsid w:val="00BB2630"/>
    <w:rsid w:val="00BB2A25"/>
    <w:rsid w:val="00BB4050"/>
    <w:rsid w:val="00BB51E9"/>
    <w:rsid w:val="00BC0FDC"/>
    <w:rsid w:val="00BC3053"/>
    <w:rsid w:val="00BC4D2E"/>
    <w:rsid w:val="00BC7C66"/>
    <w:rsid w:val="00BD0212"/>
    <w:rsid w:val="00BD2823"/>
    <w:rsid w:val="00BD2FBC"/>
    <w:rsid w:val="00BD48AC"/>
    <w:rsid w:val="00BD5F1A"/>
    <w:rsid w:val="00BD6E98"/>
    <w:rsid w:val="00BE1234"/>
    <w:rsid w:val="00BE2FA6"/>
    <w:rsid w:val="00BE333F"/>
    <w:rsid w:val="00BE7406"/>
    <w:rsid w:val="00BE7603"/>
    <w:rsid w:val="00BF0E16"/>
    <w:rsid w:val="00BF3279"/>
    <w:rsid w:val="00BF74C7"/>
    <w:rsid w:val="00C015F1"/>
    <w:rsid w:val="00C01F33"/>
    <w:rsid w:val="00C02CC6"/>
    <w:rsid w:val="00C03C6A"/>
    <w:rsid w:val="00C040F7"/>
    <w:rsid w:val="00C041B0"/>
    <w:rsid w:val="00C043B2"/>
    <w:rsid w:val="00C044AB"/>
    <w:rsid w:val="00C05706"/>
    <w:rsid w:val="00C05D4D"/>
    <w:rsid w:val="00C07377"/>
    <w:rsid w:val="00C10478"/>
    <w:rsid w:val="00C12107"/>
    <w:rsid w:val="00C14D4B"/>
    <w:rsid w:val="00C154BB"/>
    <w:rsid w:val="00C26FAA"/>
    <w:rsid w:val="00C279B5"/>
    <w:rsid w:val="00C27C45"/>
    <w:rsid w:val="00C361D4"/>
    <w:rsid w:val="00C3719D"/>
    <w:rsid w:val="00C43821"/>
    <w:rsid w:val="00C43CB2"/>
    <w:rsid w:val="00C54995"/>
    <w:rsid w:val="00C54D41"/>
    <w:rsid w:val="00C60783"/>
    <w:rsid w:val="00C64672"/>
    <w:rsid w:val="00C70697"/>
    <w:rsid w:val="00C71AC9"/>
    <w:rsid w:val="00C72EF4"/>
    <w:rsid w:val="00C7365F"/>
    <w:rsid w:val="00C75D2F"/>
    <w:rsid w:val="00C767BE"/>
    <w:rsid w:val="00C76963"/>
    <w:rsid w:val="00C76E3C"/>
    <w:rsid w:val="00C7798B"/>
    <w:rsid w:val="00C80050"/>
    <w:rsid w:val="00C81568"/>
    <w:rsid w:val="00C8249E"/>
    <w:rsid w:val="00C82E90"/>
    <w:rsid w:val="00C85BC4"/>
    <w:rsid w:val="00C9027A"/>
    <w:rsid w:val="00C9068E"/>
    <w:rsid w:val="00C9393C"/>
    <w:rsid w:val="00C93C4B"/>
    <w:rsid w:val="00C944AB"/>
    <w:rsid w:val="00C9488D"/>
    <w:rsid w:val="00C95B40"/>
    <w:rsid w:val="00C96BA6"/>
    <w:rsid w:val="00C97C62"/>
    <w:rsid w:val="00CA1ED8"/>
    <w:rsid w:val="00CA482C"/>
    <w:rsid w:val="00CA7C31"/>
    <w:rsid w:val="00CB1F63"/>
    <w:rsid w:val="00CB247D"/>
    <w:rsid w:val="00CB7170"/>
    <w:rsid w:val="00CC040E"/>
    <w:rsid w:val="00CC111F"/>
    <w:rsid w:val="00CC2011"/>
    <w:rsid w:val="00CC3EA0"/>
    <w:rsid w:val="00CC4F3D"/>
    <w:rsid w:val="00CC6FF6"/>
    <w:rsid w:val="00CC77F9"/>
    <w:rsid w:val="00CC7B45"/>
    <w:rsid w:val="00CD0877"/>
    <w:rsid w:val="00CD1188"/>
    <w:rsid w:val="00CD2ED1"/>
    <w:rsid w:val="00CD337B"/>
    <w:rsid w:val="00CD5217"/>
    <w:rsid w:val="00CD666B"/>
    <w:rsid w:val="00CE0424"/>
    <w:rsid w:val="00CE2281"/>
    <w:rsid w:val="00CE7561"/>
    <w:rsid w:val="00CE7A46"/>
    <w:rsid w:val="00CF1354"/>
    <w:rsid w:val="00CF179F"/>
    <w:rsid w:val="00CF1F7A"/>
    <w:rsid w:val="00CF3879"/>
    <w:rsid w:val="00CF3B1F"/>
    <w:rsid w:val="00CF3BF6"/>
    <w:rsid w:val="00CF6139"/>
    <w:rsid w:val="00CF625B"/>
    <w:rsid w:val="00CF687E"/>
    <w:rsid w:val="00D00622"/>
    <w:rsid w:val="00D0349B"/>
    <w:rsid w:val="00D04434"/>
    <w:rsid w:val="00D047AD"/>
    <w:rsid w:val="00D10249"/>
    <w:rsid w:val="00D10D1F"/>
    <w:rsid w:val="00D115C3"/>
    <w:rsid w:val="00D11897"/>
    <w:rsid w:val="00D129C2"/>
    <w:rsid w:val="00D12F3A"/>
    <w:rsid w:val="00D13135"/>
    <w:rsid w:val="00D13E4E"/>
    <w:rsid w:val="00D16190"/>
    <w:rsid w:val="00D239A7"/>
    <w:rsid w:val="00D23F47"/>
    <w:rsid w:val="00D24276"/>
    <w:rsid w:val="00D262F8"/>
    <w:rsid w:val="00D26A30"/>
    <w:rsid w:val="00D3005B"/>
    <w:rsid w:val="00D32C7A"/>
    <w:rsid w:val="00D34B47"/>
    <w:rsid w:val="00D36CCA"/>
    <w:rsid w:val="00D36E71"/>
    <w:rsid w:val="00D37D87"/>
    <w:rsid w:val="00D40B33"/>
    <w:rsid w:val="00D41E62"/>
    <w:rsid w:val="00D42088"/>
    <w:rsid w:val="00D4318F"/>
    <w:rsid w:val="00D438BF"/>
    <w:rsid w:val="00D440F8"/>
    <w:rsid w:val="00D546FF"/>
    <w:rsid w:val="00D55AD5"/>
    <w:rsid w:val="00D56DAC"/>
    <w:rsid w:val="00D570BB"/>
    <w:rsid w:val="00D576CA"/>
    <w:rsid w:val="00D60E13"/>
    <w:rsid w:val="00D61AF5"/>
    <w:rsid w:val="00D62CD5"/>
    <w:rsid w:val="00D63E44"/>
    <w:rsid w:val="00D6435F"/>
    <w:rsid w:val="00D64F0B"/>
    <w:rsid w:val="00D652B5"/>
    <w:rsid w:val="00D66155"/>
    <w:rsid w:val="00D708B0"/>
    <w:rsid w:val="00D75802"/>
    <w:rsid w:val="00D77B1D"/>
    <w:rsid w:val="00D8021F"/>
    <w:rsid w:val="00D80383"/>
    <w:rsid w:val="00D821D3"/>
    <w:rsid w:val="00D823C6"/>
    <w:rsid w:val="00D84AEB"/>
    <w:rsid w:val="00D86CA3"/>
    <w:rsid w:val="00D871CE"/>
    <w:rsid w:val="00D9098A"/>
    <w:rsid w:val="00D9196D"/>
    <w:rsid w:val="00D92176"/>
    <w:rsid w:val="00D92982"/>
    <w:rsid w:val="00DA0795"/>
    <w:rsid w:val="00DA0D16"/>
    <w:rsid w:val="00DA2FA9"/>
    <w:rsid w:val="00DA305E"/>
    <w:rsid w:val="00DA5007"/>
    <w:rsid w:val="00DA5417"/>
    <w:rsid w:val="00DA56E8"/>
    <w:rsid w:val="00DA726D"/>
    <w:rsid w:val="00DB06F6"/>
    <w:rsid w:val="00DB0A9F"/>
    <w:rsid w:val="00DB3509"/>
    <w:rsid w:val="00DB377D"/>
    <w:rsid w:val="00DB38E0"/>
    <w:rsid w:val="00DC2D36"/>
    <w:rsid w:val="00DC53EF"/>
    <w:rsid w:val="00DD7100"/>
    <w:rsid w:val="00DE4ED9"/>
    <w:rsid w:val="00DE5608"/>
    <w:rsid w:val="00DE58D0"/>
    <w:rsid w:val="00DE654F"/>
    <w:rsid w:val="00DE7FF8"/>
    <w:rsid w:val="00DF0B6E"/>
    <w:rsid w:val="00DF135B"/>
    <w:rsid w:val="00DF15E0"/>
    <w:rsid w:val="00DF37A0"/>
    <w:rsid w:val="00E04C12"/>
    <w:rsid w:val="00E110E7"/>
    <w:rsid w:val="00E11B20"/>
    <w:rsid w:val="00E15DB7"/>
    <w:rsid w:val="00E17FA2"/>
    <w:rsid w:val="00E22330"/>
    <w:rsid w:val="00E30B5A"/>
    <w:rsid w:val="00E3116E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4EE4"/>
    <w:rsid w:val="00E44F21"/>
    <w:rsid w:val="00E46886"/>
    <w:rsid w:val="00E47AEF"/>
    <w:rsid w:val="00E52ECF"/>
    <w:rsid w:val="00E535F0"/>
    <w:rsid w:val="00E53B75"/>
    <w:rsid w:val="00E54D8E"/>
    <w:rsid w:val="00E54E3B"/>
    <w:rsid w:val="00E56076"/>
    <w:rsid w:val="00E57565"/>
    <w:rsid w:val="00E63838"/>
    <w:rsid w:val="00E64434"/>
    <w:rsid w:val="00E67B76"/>
    <w:rsid w:val="00E67C51"/>
    <w:rsid w:val="00E72EFC"/>
    <w:rsid w:val="00E758EC"/>
    <w:rsid w:val="00E76CB9"/>
    <w:rsid w:val="00E8234C"/>
    <w:rsid w:val="00E83AA9"/>
    <w:rsid w:val="00E85928"/>
    <w:rsid w:val="00E87021"/>
    <w:rsid w:val="00E87822"/>
    <w:rsid w:val="00E90395"/>
    <w:rsid w:val="00E90E49"/>
    <w:rsid w:val="00E917F9"/>
    <w:rsid w:val="00E9291C"/>
    <w:rsid w:val="00E93FFE"/>
    <w:rsid w:val="00E94F8A"/>
    <w:rsid w:val="00E962EF"/>
    <w:rsid w:val="00EA7A41"/>
    <w:rsid w:val="00EB077B"/>
    <w:rsid w:val="00EB1224"/>
    <w:rsid w:val="00EB4EA2"/>
    <w:rsid w:val="00EC1E68"/>
    <w:rsid w:val="00EC27C6"/>
    <w:rsid w:val="00EC4207"/>
    <w:rsid w:val="00EC5653"/>
    <w:rsid w:val="00EC60B5"/>
    <w:rsid w:val="00EC71CE"/>
    <w:rsid w:val="00EC7E73"/>
    <w:rsid w:val="00ED01EE"/>
    <w:rsid w:val="00ED1006"/>
    <w:rsid w:val="00EE1D6B"/>
    <w:rsid w:val="00EE3212"/>
    <w:rsid w:val="00EE7A60"/>
    <w:rsid w:val="00EF18FE"/>
    <w:rsid w:val="00EF4D12"/>
    <w:rsid w:val="00EF5787"/>
    <w:rsid w:val="00EF60D0"/>
    <w:rsid w:val="00F00B32"/>
    <w:rsid w:val="00F01252"/>
    <w:rsid w:val="00F02A52"/>
    <w:rsid w:val="00F0315A"/>
    <w:rsid w:val="00F0528D"/>
    <w:rsid w:val="00F0546B"/>
    <w:rsid w:val="00F06C67"/>
    <w:rsid w:val="00F06DFD"/>
    <w:rsid w:val="00F071D1"/>
    <w:rsid w:val="00F07533"/>
    <w:rsid w:val="00F07DCD"/>
    <w:rsid w:val="00F10629"/>
    <w:rsid w:val="00F15FA5"/>
    <w:rsid w:val="00F209B7"/>
    <w:rsid w:val="00F2376F"/>
    <w:rsid w:val="00F243D8"/>
    <w:rsid w:val="00F30828"/>
    <w:rsid w:val="00F30FBB"/>
    <w:rsid w:val="00F313D6"/>
    <w:rsid w:val="00F3673B"/>
    <w:rsid w:val="00F40F0C"/>
    <w:rsid w:val="00F413DB"/>
    <w:rsid w:val="00F41924"/>
    <w:rsid w:val="00F4766C"/>
    <w:rsid w:val="00F503FF"/>
    <w:rsid w:val="00F507D1"/>
    <w:rsid w:val="00F519CE"/>
    <w:rsid w:val="00F51ADA"/>
    <w:rsid w:val="00F607C5"/>
    <w:rsid w:val="00F60DEA"/>
    <w:rsid w:val="00F6241E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B3F"/>
    <w:rsid w:val="00F76EFA"/>
    <w:rsid w:val="00F804BE"/>
    <w:rsid w:val="00F817CE"/>
    <w:rsid w:val="00F8456C"/>
    <w:rsid w:val="00F859D8"/>
    <w:rsid w:val="00F868F5"/>
    <w:rsid w:val="00F87AC0"/>
    <w:rsid w:val="00F9056A"/>
    <w:rsid w:val="00F90F8D"/>
    <w:rsid w:val="00F92782"/>
    <w:rsid w:val="00F93AA9"/>
    <w:rsid w:val="00F96985"/>
    <w:rsid w:val="00F97838"/>
    <w:rsid w:val="00FA2BB3"/>
    <w:rsid w:val="00FA32B0"/>
    <w:rsid w:val="00FA3814"/>
    <w:rsid w:val="00FA7E55"/>
    <w:rsid w:val="00FB4C80"/>
    <w:rsid w:val="00FB6A6A"/>
    <w:rsid w:val="00FC4343"/>
    <w:rsid w:val="00FC494E"/>
    <w:rsid w:val="00FC4AD0"/>
    <w:rsid w:val="00FC7429"/>
    <w:rsid w:val="00FD07F6"/>
    <w:rsid w:val="00FD152A"/>
    <w:rsid w:val="00FD1EC8"/>
    <w:rsid w:val="00FD3FB3"/>
    <w:rsid w:val="00FD47ED"/>
    <w:rsid w:val="00FD4DAC"/>
    <w:rsid w:val="00FD6A82"/>
    <w:rsid w:val="00FD74DB"/>
    <w:rsid w:val="00FD7660"/>
    <w:rsid w:val="00FE0655"/>
    <w:rsid w:val="00FE2365"/>
    <w:rsid w:val="00FE4B5A"/>
    <w:rsid w:val="00FE4C7B"/>
    <w:rsid w:val="00FE7336"/>
    <w:rsid w:val="00FE787C"/>
    <w:rsid w:val="00FF420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AE2C703"/>
  <w15:docId w15:val="{0A3CB2E7-680F-4AAC-9BC1-44602324F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2228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2228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02228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locked/>
    <w:rsid w:val="00022281"/>
    <w:rPr>
      <w:rFonts w:ascii="Arial" w:eastAsia="MS Mincho" w:hAnsi="Arial"/>
      <w:noProof/>
      <w:szCs w:val="24"/>
      <w:lang w:val="en-GB" w:eastAsia="en-GB"/>
    </w:rPr>
  </w:style>
  <w:style w:type="character" w:customStyle="1" w:styleId="B2Char">
    <w:name w:val="B2 Char"/>
    <w:link w:val="B2"/>
    <w:locked/>
    <w:rsid w:val="00E3116E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0452E1"/>
    <w:pPr>
      <w:numPr>
        <w:numId w:val="16"/>
      </w:numPr>
      <w:tabs>
        <w:tab w:val="num" w:pos="1800"/>
      </w:tabs>
      <w:overflowPunct/>
      <w:autoSpaceDE/>
      <w:autoSpaceDN/>
      <w:adjustRightInd/>
      <w:spacing w:before="60" w:after="0"/>
      <w:ind w:left="1800"/>
      <w:jc w:val="left"/>
      <w:textAlignment w:val="auto"/>
    </w:pPr>
    <w:rPr>
      <w:rFonts w:eastAsia="MS Mincho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64227B"/>
    <w:pPr>
      <w:ind w:left="720"/>
      <w:contextualSpacing/>
    </w:pPr>
  </w:style>
  <w:style w:type="paragraph" w:customStyle="1" w:styleId="PL">
    <w:name w:val="PL"/>
    <w:link w:val="PLChar"/>
    <w:rsid w:val="005A15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5A1561"/>
    <w:rPr>
      <w:rFonts w:ascii="Courier New" w:eastAsia="Malgun Gothic" w:hAnsi="Courier New"/>
      <w:noProof/>
      <w:sz w:val="16"/>
      <w:szCs w:val="16"/>
      <w:lang w:val="en-GB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1561"/>
    <w:rPr>
      <w:rFonts w:ascii="Arial" w:hAnsi="Arial"/>
      <w:b/>
      <w:bCs/>
      <w:lang w:val="en-GB"/>
    </w:rPr>
  </w:style>
  <w:style w:type="numbering" w:customStyle="1" w:styleId="Recommendation">
    <w:name w:val="Recommendation"/>
    <w:uiPriority w:val="99"/>
    <w:rsid w:val="005A1561"/>
    <w:pPr>
      <w:numPr>
        <w:numId w:val="19"/>
      </w:numPr>
    </w:pPr>
  </w:style>
  <w:style w:type="paragraph" w:customStyle="1" w:styleId="Recommend-1">
    <w:name w:val="Recommend-1"/>
    <w:basedOn w:val="Normal"/>
    <w:qFormat/>
    <w:rsid w:val="005A1561"/>
    <w:pPr>
      <w:numPr>
        <w:numId w:val="20"/>
      </w:numPr>
      <w:spacing w:after="180"/>
      <w:textAlignment w:val="auto"/>
    </w:pPr>
    <w:rPr>
      <w:rFonts w:ascii="Times New Roman" w:eastAsia="SimSun" w:hAnsi="Times New Roman"/>
    </w:rPr>
  </w:style>
  <w:style w:type="paragraph" w:customStyle="1" w:styleId="Recommend-2">
    <w:name w:val="Recommend-2"/>
    <w:basedOn w:val="Normal"/>
    <w:qFormat/>
    <w:rsid w:val="005A1561"/>
    <w:pPr>
      <w:numPr>
        <w:ilvl w:val="1"/>
        <w:numId w:val="20"/>
      </w:numPr>
      <w:spacing w:after="180"/>
      <w:textAlignment w:val="auto"/>
    </w:pPr>
    <w:rPr>
      <w:rFonts w:ascii="Times New Roman" w:eastAsia="SimSun" w:hAnsi="Times New Roman"/>
      <w:lang w:val="en-US"/>
    </w:rPr>
  </w:style>
  <w:style w:type="paragraph" w:styleId="Revision">
    <w:name w:val="Revision"/>
    <w:hidden/>
    <w:uiPriority w:val="99"/>
    <w:semiHidden/>
    <w:rsid w:val="00D26A30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C03C6A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x-none"/>
    </w:rPr>
  </w:style>
  <w:style w:type="character" w:customStyle="1" w:styleId="NOChar">
    <w:name w:val="NO Char"/>
    <w:link w:val="NO"/>
    <w:rsid w:val="00C03C6A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basedOn w:val="TableNormal"/>
    <w:rsid w:val="007A4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1757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CB24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package" Target="embeddings/Microsoft_Visio_Drawing.vsdx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image" Target="media/image7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1.vsd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23" Type="http://schemas.openxmlformats.org/officeDocument/2006/relationships/image" Target="media/image8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oleObject" Target="embeddings/Microsoft_Visio_2003-2010_Drawing.vsd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14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CTPClassification=CTP_IC:VisualMarkings=</TermName>
          <TermId xmlns="http://schemas.microsoft.com/office/infopath/2007/PartnerControls">5ffc75b0-29d2-457f-9423-337645f483e7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5NUHHDQN7SK2-1-117201</_dlc_DocId>
    <_dlc_DocIdUrl xmlns="08b2df90-05d3-4030-90d4-c9feeb4a1cd9">
      <Url>https://ericoll.internal.ericsson.com/sites/STAR/_layouts/DocIdRedir.aspx?ID=5NUHHDQN7SK2-1-117201</Url>
      <Description>5NUHHDQN7SK2-1-117201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9951C785-8C05-41FC-903F-2588B4DBC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696615-1A53-4E03-9518-AA5ABDB2E5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7D69C-FE9E-4AB8-B0C9-DDC545337898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0A485F8D-781E-4726-B2AB-04C7A413482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9C4EFA-F469-4100-9661-4ACB92CBDA7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176</TotalTime>
  <Pages>10</Pages>
  <Words>3387</Words>
  <Characters>17953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21298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CTPClassification=CTP_IC:VisualMarkings=</cp:keywords>
  <cp:lastModifiedBy>Oscar Ohlsson</cp:lastModifiedBy>
  <cp:revision>32</cp:revision>
  <cp:lastPrinted>2008-01-31T06:09:00Z</cp:lastPrinted>
  <dcterms:created xsi:type="dcterms:W3CDTF">2017-04-27T13:48:00Z</dcterms:created>
  <dcterms:modified xsi:type="dcterms:W3CDTF">2017-05-05T06:03:00Z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1482295515</vt:lpwstr>
  </property>
  <property fmtid="{D5CDD505-2E9C-101B-9397-08002B2CF9AE}" pid="8" name="_2015_ms_pID_725343">
    <vt:lpwstr>(2)w1/zRbzhMzL2n3ATnz3xNzqC6gl7/JjuPcnD0TKbJBFm4P3tfy6o+/9DYpfIG6OC1ffvCJr8
qMn5V6q4Q92w0b3GjZwRYhZhw6k9LnvwyVXINhwMol6C5RhT5F2ggMVkULtCeAQpj0HSTHUJ
FHA8aja4l5OdEYACumcA3F9xT9ljpiIF8B4Ipu9RsdAgjulDlp/WMjgj2EsFCTbZ/rHhFI4p
eufgFydvAUF/yMTg46</vt:lpwstr>
  </property>
  <property fmtid="{D5CDD505-2E9C-101B-9397-08002B2CF9AE}" pid="9" name="_2015_ms_pID_7253431">
    <vt:lpwstr>aRyCe/RCweFCadPEmeMQUaICvp5wOJmPeM6EIXl4AVM8XCTWGkFzgh
BN0t9Jhhtkap8aEsyyCfpPhQWmoUwxl9k6ikk/znFkvBbhMH4vPcBrGH4F0BUW3ldTFEapNb
Eem2a12tOGILLi8p6sG5PuOfac3YmrFVpCz8Ydsp4in25Q==</vt:lpwstr>
  </property>
  <property fmtid="{D5CDD505-2E9C-101B-9397-08002B2CF9AE}" pid="10" name="TitusGUID">
    <vt:lpwstr>e961fbef-60a1-4aad-a8ed-ce5fab590289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2017-01-26 20:10:56Z</vt:lpwstr>
  </property>
  <property fmtid="{D5CDD505-2E9C-101B-9397-08002B2CF9AE}" pid="13" name="CTPClassification">
    <vt:lpwstr>CTP_IC</vt:lpwstr>
  </property>
  <property fmtid="{D5CDD505-2E9C-101B-9397-08002B2CF9AE}" pid="14" name="ContentTypeId">
    <vt:lpwstr>0x010100BB337192E63E44A7A744CE7393F41F4E00FC0FCE182CC02C499F00CC069FCD5A25</vt:lpwstr>
  </property>
  <property fmtid="{D5CDD505-2E9C-101B-9397-08002B2CF9AE}" pid="15" name="TaxKeyword">
    <vt:lpwstr>14;#CTPClassification=CTP_IC:VisualMarkings=|5ffc75b0-29d2-457f-9423-337645f483e7</vt:lpwstr>
  </property>
  <property fmtid="{D5CDD505-2E9C-101B-9397-08002B2CF9AE}" pid="16" name="_dlc_DocIdItemGuid">
    <vt:lpwstr>374af789-bdd6-4ded-90d0-ebc79cafbd14</vt:lpwstr>
  </property>
  <property fmtid="{D5CDD505-2E9C-101B-9397-08002B2CF9AE}" pid="17" name="EriCOLLCategory">
    <vt:lpwstr>1;#Research|7f1f7aab-c784-40ec-8666-825d2ac7abef</vt:lpwstr>
  </property>
  <property fmtid="{D5CDD505-2E9C-101B-9397-08002B2CF9AE}" pid="18" name="EriCOLLProjects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OrganizationUnit">
    <vt:lpwstr>2;#GFTE ER Radio Access Technologies|692a7af5-c1f7-4d68-b1ab-a7920dfecb78</vt:lpwstr>
  </property>
  <property fmtid="{D5CDD505-2E9C-101B-9397-08002B2CF9AE}" pid="23" name="EriCOLLCustomer">
    <vt:lpwstr/>
  </property>
  <property fmtid="{D5CDD505-2E9C-101B-9397-08002B2CF9AE}" pid="24" name="EriCOLLProducts">
    <vt:lpwstr/>
  </property>
</Properties>
</file>